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Casusbijeenkomst: Patiënt met auto-inflammatoire ziekte</w:t>
      </w:r>
    </w:p>
    <w:p>
      <w:pPr>
        <w:pStyle w:val="Heading1"/>
      </w:pPr>
      <w:r>
        <w:t>Leerdoelen</w:t>
      </w:r>
    </w:p>
    <w:p>
      <w:pPr>
        <w:pStyle w:val="Heading2"/>
      </w:pPr>
      <w:r>
        <w:t>Na deze casusbijeenkomst moet je begrijpen:</w:t>
      </w:r>
    </w:p>
    <w:p>
      <w:pPr>
        <w:pStyle w:val="ListBullet"/>
      </w:pPr>
      <w:r>
        <w:t>wat het verschil is tussen immuundeficiënties, auto-inflammatoire ziekten en auto-immuunziekten</w:t>
      </w:r>
    </w:p>
    <w:p>
      <w:pPr>
        <w:pStyle w:val="ListBullet"/>
      </w:pPr>
      <w:r>
        <w:t>hoe positieve en negatieve selectie van T-lymfocyten in de thymus verlopen</w:t>
      </w:r>
    </w:p>
    <w:p>
      <w:pPr>
        <w:pStyle w:val="ListBullet"/>
      </w:pPr>
      <w:r>
        <w:t>hoe perifere tolerantie voorkomt dat autoreactieve lymfocyten meteen ziekte veroorzaken</w:t>
      </w:r>
    </w:p>
    <w:p>
      <w:pPr>
        <w:pStyle w:val="ListBullet"/>
      </w:pPr>
      <w:r>
        <w:t>waardoor tolerantiemechanismen kunnen worden doorbroken</w:t>
      </w:r>
    </w:p>
    <w:p>
      <w:pPr>
        <w:pStyle w:val="ListBullet"/>
      </w:pPr>
      <w:r>
        <w:t>wat het verschil is tussen natuurlijke en pathogene autoantistoffen</w:t>
      </w:r>
    </w:p>
    <w:p>
      <w:pPr>
        <w:pStyle w:val="ListBullet"/>
      </w:pPr>
      <w:r>
        <w:t>waarom de ziekte van Graves, SLE en Sjögren onder verschillende vormen van auto-immuniteit vallen</w:t>
      </w:r>
    </w:p>
    <w:p>
      <w:pPr>
        <w:pStyle w:val="ListBullet"/>
      </w:pPr>
      <w:r>
        <w:t>hoe je de belangrijkste reumatische auto-immuunziekten klinisch van elkaar onderscheidt</w:t>
      </w:r>
    </w:p>
    <w:p>
      <w:pPr>
        <w:pStyle w:val="ListBullet"/>
      </w:pPr>
      <w:r>
        <w:t>hoe de ziekte van Sjögren wordt geclassificeerd</w:t>
      </w:r>
    </w:p>
    <w:p>
      <w:pPr>
        <w:pStyle w:val="ListBullet"/>
      </w:pPr>
      <w:r>
        <w:t>hoe Sjögren kan worden ingedeeld in verschillende patiëntcategorieën op basis van klachten, activiteit en B-celactivatie</w:t>
      </w:r>
    </w:p>
    <w:p>
      <w:pPr>
        <w:pStyle w:val="ListBullet"/>
      </w:pPr>
      <w:r>
        <w:t>welke behandeling past bij de verschillende Sjögren-categorieën</w:t>
      </w:r>
    </w:p>
    <w:p>
      <w:pPr>
        <w:pStyle w:val="ListBullet"/>
      </w:pPr>
      <w:r>
        <w:t>hoe je een patiënt met Sjögren klinisch redeneert van klachten naar diagnose en beleid</w:t>
      </w:r>
    </w:p>
    <w:p>
      <w:pPr>
        <w:pStyle w:val="Heading2"/>
      </w:pPr>
      <w:r>
        <w:t>Casus en klinische context</w:t>
      </w:r>
    </w:p>
    <w:p>
      <w:r>
        <w:t xml:space="preserve">De centrale ziekte in deze bijeenkomst is de </w:t>
      </w:r>
      <w:r>
        <w:rPr>
          <w:b/>
        </w:rPr>
        <w:t>ziekte van Sjögren</w:t>
      </w:r>
      <w:r>
        <w:t xml:space="preserve">. Dat is een chronische auto-immuunziekte waarbij vooral de </w:t>
      </w:r>
      <w:r>
        <w:rPr>
          <w:b/>
        </w:rPr>
        <w:t>traan- en speekselklieren</w:t>
      </w:r>
      <w:r>
        <w:t xml:space="preserve"> worden aangevallen. Daardoor ontstaan typische klachten van </w:t>
      </w:r>
      <w:r>
        <w:rPr>
          <w:b/>
        </w:rPr>
        <w:t>droge ogen</w:t>
      </w:r>
      <w:r>
        <w:t xml:space="preserve"> en </w:t>
      </w:r>
      <w:r>
        <w:rPr>
          <w:b/>
        </w:rPr>
        <w:t>droge mond</w:t>
      </w:r>
      <w:r>
        <w:t xml:space="preserve">. Maar Sjögren is meer dan alleen droogte: sommige patiënten hebben vooral veel klachten, anderen vooral duidelijke </w:t>
      </w:r>
      <w:r>
        <w:rPr>
          <w:b/>
        </w:rPr>
        <w:t>systemische ziekteactiviteit</w:t>
      </w:r>
      <w:r>
        <w:t xml:space="preserve">, en weer anderen hebben tekenen van </w:t>
      </w:r>
      <w:r>
        <w:rPr>
          <w:b/>
        </w:rPr>
        <w:t>B-celactivatie</w:t>
      </w:r>
      <w:r>
        <w:t xml:space="preserve"> of een </w:t>
      </w:r>
      <w:r>
        <w:rPr>
          <w:b/>
        </w:rPr>
        <w:t>overlap met een andere auto-immuunziekte</w:t>
      </w:r>
      <w:r>
        <w:t>.</w:t>
      </w:r>
    </w:p>
    <w:p>
      <w:r>
        <w:t>De casus laat zien dat Sjögren heel verschillend kan presenteren. Daarom is het belangrijk om niet alleen naar droogte te kijken, maar ook naar:</w:t>
      </w:r>
    </w:p>
    <w:p>
      <w:pPr>
        <w:pStyle w:val="ListBullet"/>
      </w:pPr>
      <w:r>
        <w:t>vermoeidheid</w:t>
      </w:r>
    </w:p>
    <w:p>
      <w:pPr>
        <w:pStyle w:val="ListBullet"/>
      </w:pPr>
      <w:r>
        <w:t>gewrichtsklachten</w:t>
      </w:r>
    </w:p>
    <w:p>
      <w:pPr>
        <w:pStyle w:val="ListBullet"/>
      </w:pPr>
      <w:r>
        <w:t>Raynaud</w:t>
      </w:r>
    </w:p>
    <w:p>
      <w:pPr>
        <w:pStyle w:val="ListBullet"/>
      </w:pPr>
      <w:r>
        <w:t>neuropathie</w:t>
      </w:r>
    </w:p>
    <w:p>
      <w:pPr>
        <w:pStyle w:val="ListBullet"/>
      </w:pPr>
      <w:r>
        <w:t>longbetrokkenheid</w:t>
      </w:r>
    </w:p>
    <w:p>
      <w:pPr>
        <w:pStyle w:val="ListBullet"/>
      </w:pPr>
      <w:r>
        <w:t>laboratoriumafwijkingen zoals verhoogd IgG, positieve autoantistoffen en complementverbruik</w:t>
      </w:r>
    </w:p>
    <w:p>
      <w:pPr>
        <w:pStyle w:val="Heading2"/>
      </w:pPr>
      <w:r>
        <w:t>Auto-immuniteit, auto-inflammatie en immuundeficiëntie</w:t>
      </w:r>
    </w:p>
    <w:p>
      <w:r>
        <w:t>Een belangrijk basisidee is het onderscheid tussen drie typen ontregeling van het immuunsysteem.</w:t>
      </w:r>
    </w:p>
    <w:tbl>
      <w:tblPr>
        <w:tblStyle w:val="TableGrid"/>
        <w:tblW w:type="auto" w:w="0"/>
        <w:tblLook w:firstColumn="1" w:firstRow="1" w:lastColumn="0" w:lastRow="0" w:noHBand="0" w:noVBand="1" w:val="04A0"/>
      </w:tblPr>
      <w:tblGrid>
        <w:gridCol w:w="2880"/>
        <w:gridCol w:w="2880"/>
        <w:gridCol w:w="2880"/>
      </w:tblGrid>
      <w:tr>
        <w:tc>
          <w:tcPr>
            <w:tcW w:type="dxa" w:w="2880"/>
          </w:tcPr>
          <w:p>
            <w:r>
              <w:t>Begrip</w:t>
            </w:r>
          </w:p>
        </w:tc>
        <w:tc>
          <w:tcPr>
            <w:tcW w:type="dxa" w:w="2880"/>
          </w:tcPr>
          <w:p>
            <w:r>
              <w:t>Kern</w:t>
            </w:r>
          </w:p>
        </w:tc>
        <w:tc>
          <w:tcPr>
            <w:tcW w:type="dxa" w:w="2880"/>
          </w:tcPr>
          <w:p>
            <w:r>
              <w:t>Betrokken afweer</w:t>
            </w:r>
          </w:p>
        </w:tc>
      </w:tr>
      <w:tr>
        <w:tc>
          <w:tcPr>
            <w:tcW w:type="dxa" w:w="2880"/>
          </w:tcPr>
          <w:p>
            <w:r>
              <w:t>Immuundeficiëntie</w:t>
            </w:r>
          </w:p>
        </w:tc>
        <w:tc>
          <w:tcPr>
            <w:tcW w:type="dxa" w:w="2880"/>
          </w:tcPr>
          <w:p>
            <w:r>
              <w:t>te weinig reactie</w:t>
            </w:r>
          </w:p>
        </w:tc>
        <w:tc>
          <w:tcPr>
            <w:tcW w:type="dxa" w:w="2880"/>
          </w:tcPr>
          <w:p>
            <w:r>
              <w:t>aangeboren en/of verworven afweer</w:t>
            </w:r>
          </w:p>
        </w:tc>
      </w:tr>
      <w:tr>
        <w:tc>
          <w:tcPr>
            <w:tcW w:type="dxa" w:w="2880"/>
          </w:tcPr>
          <w:p>
            <w:r>
              <w:t>Auto-inflammatoire ziekte</w:t>
            </w:r>
          </w:p>
        </w:tc>
        <w:tc>
          <w:tcPr>
            <w:tcW w:type="dxa" w:w="2880"/>
          </w:tcPr>
          <w:p>
            <w:r>
              <w:t>te veel reactie</w:t>
            </w:r>
          </w:p>
        </w:tc>
        <w:tc>
          <w:tcPr>
            <w:tcW w:type="dxa" w:w="2880"/>
          </w:tcPr>
          <w:p>
            <w:r>
              <w:t>aangeboren afweer</w:t>
            </w:r>
          </w:p>
        </w:tc>
      </w:tr>
      <w:tr>
        <w:tc>
          <w:tcPr>
            <w:tcW w:type="dxa" w:w="2880"/>
          </w:tcPr>
          <w:p>
            <w:r>
              <w:t>Auto-immuunziekte</w:t>
            </w:r>
          </w:p>
        </w:tc>
        <w:tc>
          <w:tcPr>
            <w:tcW w:type="dxa" w:w="2880"/>
          </w:tcPr>
          <w:p>
            <w:r>
              <w:t>te veel reactie</w:t>
            </w:r>
          </w:p>
        </w:tc>
        <w:tc>
          <w:tcPr>
            <w:tcW w:type="dxa" w:w="2880"/>
          </w:tcPr>
          <w:p>
            <w:r>
              <w:t>verworven afweer</w:t>
            </w:r>
          </w:p>
        </w:tc>
      </w:tr>
    </w:tbl>
    <w:p>
      <w:r>
        <w:t xml:space="preserve">Bij </w:t>
      </w:r>
      <w:r>
        <w:rPr>
          <w:b/>
        </w:rPr>
        <w:t>immuundeficiënties</w:t>
      </w:r>
      <w:r>
        <w:t xml:space="preserve"> is er dus een onderreactie van het immuunsysteem. Bij </w:t>
      </w:r>
      <w:r>
        <w:rPr>
          <w:b/>
        </w:rPr>
        <w:t>auto-inflammatoire ziekten</w:t>
      </w:r>
      <w:r>
        <w:t xml:space="preserve"> is er juist een overreactie van de </w:t>
      </w:r>
      <w:r>
        <w:rPr>
          <w:b/>
        </w:rPr>
        <w:t>aangeboren afweer</w:t>
      </w:r>
      <w:r>
        <w:t xml:space="preserve">. Bij </w:t>
      </w:r>
      <w:r>
        <w:rPr>
          <w:b/>
        </w:rPr>
        <w:t>auto-immuunziekten</w:t>
      </w:r>
      <w:r>
        <w:t xml:space="preserve"> gaat het om een overreactie van de </w:t>
      </w:r>
      <w:r>
        <w:rPr>
          <w:b/>
        </w:rPr>
        <w:t>verworven afweer</w:t>
      </w:r>
      <w:r>
        <w:t>, dus vooral T- en B-cellen en autoantistoffen.</w:t>
      </w:r>
    </w:p>
    <w:p>
      <w:pPr>
        <w:pStyle w:val="Heading3"/>
      </w:pPr>
      <w:r>
        <w:t>Aandachtsvraag</w:t>
      </w:r>
    </w:p>
    <w:p>
      <w:r>
        <w:rPr>
          <w:b/>
        </w:rPr>
        <w:t>Waarom is SLE een auto-immuunziekte en geen auto-inflammatoire ziekte?</w:t>
      </w:r>
    </w:p>
    <w:p>
      <w:r>
        <w:t xml:space="preserve">Omdat bij SLE specifieke </w:t>
      </w:r>
      <w:r>
        <w:rPr>
          <w:b/>
        </w:rPr>
        <w:t>autoantistoffen</w:t>
      </w:r>
      <w:r>
        <w:t xml:space="preserve"> aanwezig zijn, zoals ANA, anti-dsDNA en antifosfolipidenantistoffen.</w:t>
      </w:r>
    </w:p>
    <w:p>
      <w:pPr>
        <w:pStyle w:val="Heading2"/>
      </w:pPr>
      <w:r>
        <w:t>T-celselectie in de thymus</w:t>
      </w:r>
    </w:p>
    <w:p>
      <w:r>
        <w:t xml:space="preserve">T-lymfocyten worden in de thymus “gecontroleerd” voordat ze de periferie in gaan. Dat gebeurt via </w:t>
      </w:r>
      <w:r>
        <w:rPr>
          <w:b/>
        </w:rPr>
        <w:t>positieve</w:t>
      </w:r>
      <w:r>
        <w:t xml:space="preserve"> en </w:t>
      </w:r>
      <w:r>
        <w:rPr>
          <w:b/>
        </w:rPr>
        <w:t>negatieve selectie</w:t>
      </w:r>
      <w:r>
        <w:t>.</w:t>
      </w:r>
    </w:p>
    <w:p>
      <w:pPr>
        <w:pStyle w:val="Heading3"/>
      </w:pPr>
      <w:r>
        <w:t>Positieve selectie</w:t>
      </w:r>
    </w:p>
    <w:p>
      <w:r>
        <w:t xml:space="preserve">Positieve selectie vindt plaats in de </w:t>
      </w:r>
      <w:r>
        <w:rPr>
          <w:b/>
        </w:rPr>
        <w:t>cortex</w:t>
      </w:r>
      <w:r>
        <w:t xml:space="preserve"> van de thymus. Hier wordt gekeken of de T-celreceptor (TCR) een </w:t>
      </w:r>
      <w:r>
        <w:rPr>
          <w:b/>
        </w:rPr>
        <w:t>zwakke interactie</w:t>
      </w:r>
      <w:r>
        <w:t xml:space="preserve"> kan aangaan met </w:t>
      </w:r>
      <w:r>
        <w:rPr>
          <w:b/>
        </w:rPr>
        <w:t>MHC-moleculen</w:t>
      </w:r>
      <w:r>
        <w:t>. Alleen thymocyten die een bruikbare, maar niet te sterke interactie hebben, overleven. Geen interactie of juist een te sterke interactie leidt tot apoptose.</w:t>
      </w:r>
    </w:p>
    <w:p>
      <w:pPr>
        <w:pStyle w:val="Heading3"/>
      </w:pPr>
      <w:r>
        <w:t>Negatieve selectie</w:t>
      </w:r>
    </w:p>
    <w:p>
      <w:r>
        <w:t xml:space="preserve">Negatieve selectie vindt vooral plaats in de </w:t>
      </w:r>
      <w:r>
        <w:rPr>
          <w:b/>
        </w:rPr>
        <w:t>medulla</w:t>
      </w:r>
      <w:r>
        <w:t xml:space="preserve"> van de thymus. Daar worden autoantigenen gepresenteerd door </w:t>
      </w:r>
      <w:r>
        <w:rPr>
          <w:b/>
        </w:rPr>
        <w:t>medullaire epitheelcellen</w:t>
      </w:r>
      <w:r>
        <w:t xml:space="preserve"> en </w:t>
      </w:r>
      <w:r>
        <w:rPr>
          <w:b/>
        </w:rPr>
        <w:t>dendritische cellen</w:t>
      </w:r>
      <w:r>
        <w:t xml:space="preserve"> in MHC-moleculen. Als de TCR het autoantigeen herkent, gaat de thymocyt in apoptose. Zo worden sterk autoreactieve T-cellen verwijderd.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Proces</w:t>
            </w:r>
          </w:p>
        </w:tc>
        <w:tc>
          <w:tcPr>
            <w:tcW w:type="dxa" w:w="2160"/>
          </w:tcPr>
          <w:p>
            <w:r>
              <w:t>Plaats</w:t>
            </w:r>
          </w:p>
        </w:tc>
        <w:tc>
          <w:tcPr>
            <w:tcW w:type="dxa" w:w="2160"/>
          </w:tcPr>
          <w:p>
            <w:r>
              <w:t>Wat wordt getest?</w:t>
            </w:r>
          </w:p>
        </w:tc>
        <w:tc>
          <w:tcPr>
            <w:tcW w:type="dxa" w:w="2160"/>
          </w:tcPr>
          <w:p>
            <w:r>
              <w:t>Uitkomst bij juiste interactie</w:t>
            </w:r>
          </w:p>
        </w:tc>
      </w:tr>
      <w:tr>
        <w:tc>
          <w:tcPr>
            <w:tcW w:type="dxa" w:w="2160"/>
          </w:tcPr>
          <w:p>
            <w:r>
              <w:t>Positieve selectie</w:t>
            </w:r>
          </w:p>
        </w:tc>
        <w:tc>
          <w:tcPr>
            <w:tcW w:type="dxa" w:w="2160"/>
          </w:tcPr>
          <w:p>
            <w:r>
              <w:t>cortex</w:t>
            </w:r>
          </w:p>
        </w:tc>
        <w:tc>
          <w:tcPr>
            <w:tcW w:type="dxa" w:w="2160"/>
          </w:tcPr>
          <w:p>
            <w:r>
              <w:t>TCR met MHC</w:t>
            </w:r>
          </w:p>
        </w:tc>
        <w:tc>
          <w:tcPr>
            <w:tcW w:type="dxa" w:w="2160"/>
          </w:tcPr>
          <w:p>
            <w:r>
              <w:t>overleving</w:t>
            </w:r>
          </w:p>
        </w:tc>
      </w:tr>
      <w:tr>
        <w:tc>
          <w:tcPr>
            <w:tcW w:type="dxa" w:w="2160"/>
          </w:tcPr>
          <w:p>
            <w:r>
              <w:t>Negatieve selectie</w:t>
            </w:r>
          </w:p>
        </w:tc>
        <w:tc>
          <w:tcPr>
            <w:tcW w:type="dxa" w:w="2160"/>
          </w:tcPr>
          <w:p>
            <w:r>
              <w:t>medulla</w:t>
            </w:r>
          </w:p>
        </w:tc>
        <w:tc>
          <w:tcPr>
            <w:tcW w:type="dxa" w:w="2160"/>
          </w:tcPr>
          <w:p>
            <w:r>
              <w:t>TCR met autoantigeen in MHC</w:t>
            </w:r>
          </w:p>
        </w:tc>
        <w:tc>
          <w:tcPr>
            <w:tcW w:type="dxa" w:w="2160"/>
          </w:tcPr>
          <w:p>
            <w:r>
              <w:t>apoptose bij herkenning</w:t>
            </w:r>
          </w:p>
        </w:tc>
      </w:tr>
    </w:tbl>
    <w:p>
      <w:pPr>
        <w:pStyle w:val="Heading3"/>
      </w:pPr>
      <w:r>
        <w:t>Aandachtsvraag</w:t>
      </w:r>
    </w:p>
    <w:p>
      <w:r>
        <w:rPr>
          <w:b/>
        </w:rPr>
        <w:t>Waarom is het beenmerg hier het buitenbeentje?</w:t>
      </w:r>
    </w:p>
    <w:p>
      <w:r>
        <w:t>Omdat de vroege voorlopers van T-cellen wel uit het beenmerg komen, maar de selectie zelf gebeurt in de thymus.</w:t>
      </w:r>
    </w:p>
    <w:p>
      <w:pPr>
        <w:pStyle w:val="Heading2"/>
      </w:pPr>
      <w:r>
        <w:t>Perifere tolerantie</w:t>
      </w:r>
    </w:p>
    <w:p>
      <w:r>
        <w:t>Niet alle autoreactieve lymfocyten worden in de thymus verwijderd. Daarom zijn er in de periferie extra mechanismen die auto-immuniteit moeten voorkomen.</w:t>
      </w:r>
    </w:p>
    <w:p>
      <w:pPr>
        <w:pStyle w:val="Heading2"/>
      </w:pPr>
      <w:r>
        <w:t>De drie belangrijkste zijn:</w:t>
      </w:r>
    </w:p>
    <w:p>
      <w:pPr>
        <w:pStyle w:val="ListBullet"/>
      </w:pPr>
      <w:r>
        <w:rPr>
          <w:b/>
        </w:rPr>
        <w:t>Anergie</w:t>
      </w:r>
    </w:p>
    <w:p>
      <w:r>
        <w:t>Een lymfocyt bindt wel aan een autoantigeen, maar zonder costimulatie. Daardoor wordt de cel functioneel “uitgezet” en reageert later ook niet meer goed.</w:t>
      </w:r>
    </w:p>
    <w:p>
      <w:pPr>
        <w:pStyle w:val="ListBullet"/>
      </w:pPr>
      <w:r>
        <w:rPr>
          <w:b/>
        </w:rPr>
        <w:t>Actieve suppressie</w:t>
      </w:r>
    </w:p>
    <w:p>
      <w:r>
        <w:rPr>
          <w:b/>
        </w:rPr>
        <w:t>Regulatoire T-cellen</w:t>
      </w:r>
      <w:r>
        <w:t xml:space="preserve"> remmen autoreactieve T-cellen actief af.</w:t>
      </w:r>
    </w:p>
    <w:p>
      <w:pPr>
        <w:pStyle w:val="ListBullet"/>
      </w:pPr>
      <w:r>
        <w:rPr>
          <w:b/>
        </w:rPr>
        <w:t>Immune privileged sites</w:t>
      </w:r>
    </w:p>
    <w:p>
      <w:r>
        <w:t>Sommige autoantigenen zitten op plekken waar lymfocyten moeilijk bij kunnen, zoals de hersenen, het oog en de geslachtsorganen.</w:t>
      </w:r>
    </w:p>
    <w:p>
      <w:pPr>
        <w:pStyle w:val="Heading2"/>
      </w:pPr>
      <w:r>
        <w:t>Hoe tolerantie kan worden doorbroken</w:t>
      </w:r>
    </w:p>
    <w:p>
      <w:r>
        <w:t>Onder bepaalde omstandigheden kunnen autoreactieve reacties toch ontstaan. De bijeenkomst noemt vier mechanismen:</w:t>
      </w:r>
    </w:p>
    <w:p>
      <w:pPr>
        <w:pStyle w:val="ListBullet"/>
      </w:pPr>
      <w:r>
        <w:rPr>
          <w:b/>
        </w:rPr>
        <w:t>Moleculaire mimicry</w:t>
      </w:r>
      <w:r>
        <w:t>: een vreemd antigeen lijkt op een auto-antigeen</w:t>
      </w:r>
    </w:p>
    <w:p>
      <w:pPr>
        <w:pStyle w:val="ListBullet"/>
      </w:pPr>
      <w:r>
        <w:rPr>
          <w:b/>
        </w:rPr>
        <w:t>Polyclonale activatie</w:t>
      </w:r>
      <w:r>
        <w:t>: activatie van veel lymfocyten via andere receptoren dan TCR of BCR</w:t>
      </w:r>
    </w:p>
    <w:p>
      <w:pPr>
        <w:pStyle w:val="ListBullet"/>
      </w:pPr>
      <w:r>
        <w:rPr>
          <w:b/>
        </w:rPr>
        <w:t>Activatie door superantigenen</w:t>
      </w:r>
      <w:r>
        <w:t>: stimulatie via niet-variabele delen van TCR of BCR</w:t>
      </w:r>
    </w:p>
    <w:p>
      <w:pPr>
        <w:pStyle w:val="ListBullet"/>
      </w:pPr>
      <w:r>
        <w:rPr>
          <w:b/>
        </w:rPr>
        <w:t>Bystander-activatie</w:t>
      </w:r>
      <w:r>
        <w:t>: activatie door cytokinen in de buurt van ontsteking of vrijkomend antigeen</w:t>
      </w:r>
    </w:p>
    <w:p>
      <w:pPr>
        <w:pStyle w:val="ListBullet"/>
      </w:pPr>
      <w:r>
        <w:rPr>
          <w:b/>
        </w:rPr>
        <w:t>Vorming van neoantigenen</w:t>
      </w:r>
      <w:r>
        <w:t>: nieuwe antigenen ontstaan, bijvoorbeeld door koppeling van kleine moleculen aan eiwitten</w:t>
      </w:r>
    </w:p>
    <w:p>
      <w:pPr>
        <w:pStyle w:val="Heading2"/>
      </w:pPr>
      <w:r>
        <w:t>Natuurlijke en pathogene autoantistoffen</w:t>
      </w:r>
    </w:p>
    <w:p>
      <w:r>
        <w:t xml:space="preserve">Er wordt onderscheid gemaakt tussen </w:t>
      </w:r>
      <w:r>
        <w:rPr>
          <w:b/>
        </w:rPr>
        <w:t>natuurlijke autoantistoffen</w:t>
      </w:r>
      <w:r>
        <w:t xml:space="preserve"> en </w:t>
      </w:r>
      <w:r>
        <w:rPr>
          <w:b/>
        </w:rPr>
        <w:t>pathogene autoantistoffen</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Natuurlijke autoantistoffen</w:t>
            </w:r>
          </w:p>
        </w:tc>
        <w:tc>
          <w:tcPr>
            <w:tcW w:type="dxa" w:w="2880"/>
          </w:tcPr>
          <w:p>
            <w:r>
              <w:t>Pathogene autoantistoffen</w:t>
            </w:r>
          </w:p>
        </w:tc>
      </w:tr>
      <w:tr>
        <w:tc>
          <w:tcPr>
            <w:tcW w:type="dxa" w:w="2880"/>
          </w:tcPr>
          <w:p>
            <w:r>
              <w:t>Isotype</w:t>
            </w:r>
          </w:p>
        </w:tc>
        <w:tc>
          <w:tcPr>
            <w:tcW w:type="dxa" w:w="2880"/>
          </w:tcPr>
          <w:p>
            <w:r>
              <w:t>IgM</w:t>
            </w:r>
          </w:p>
        </w:tc>
        <w:tc>
          <w:tcPr>
            <w:tcW w:type="dxa" w:w="2880"/>
          </w:tcPr>
          <w:p>
            <w:r>
              <w:t>IgG</w:t>
            </w:r>
          </w:p>
        </w:tc>
      </w:tr>
      <w:tr>
        <w:tc>
          <w:tcPr>
            <w:tcW w:type="dxa" w:w="2880"/>
          </w:tcPr>
          <w:p>
            <w:r>
              <w:t>Affiniteit</w:t>
            </w:r>
          </w:p>
        </w:tc>
        <w:tc>
          <w:tcPr>
            <w:tcW w:type="dxa" w:w="2880"/>
          </w:tcPr>
          <w:p>
            <w:r>
              <w:t>laag</w:t>
            </w:r>
          </w:p>
        </w:tc>
        <w:tc>
          <w:tcPr>
            <w:tcW w:type="dxa" w:w="2880"/>
          </w:tcPr>
          <w:p>
            <w:r>
              <w:t>hoog</w:t>
            </w:r>
          </w:p>
        </w:tc>
      </w:tr>
      <w:tr>
        <w:tc>
          <w:tcPr>
            <w:tcW w:type="dxa" w:w="2880"/>
          </w:tcPr>
          <w:p>
            <w:r>
              <w:t>Ontstaan</w:t>
            </w:r>
          </w:p>
        </w:tc>
        <w:tc>
          <w:tcPr>
            <w:tcW w:type="dxa" w:w="2880"/>
          </w:tcPr>
          <w:p>
            <w:r>
              <w:t>zonder somatische hypermutatie</w:t>
            </w:r>
          </w:p>
        </w:tc>
        <w:tc>
          <w:tcPr>
            <w:tcW w:type="dxa" w:w="2880"/>
          </w:tcPr>
          <w:p>
            <w:r>
              <w:t>met somatische hypermutatie</w:t>
            </w:r>
          </w:p>
        </w:tc>
      </w:tr>
    </w:tbl>
    <w:p>
      <w:r>
        <w:t xml:space="preserve">Natuurlijke autoantistoffen zijn dus meestal </w:t>
      </w:r>
      <w:r>
        <w:rPr>
          <w:b/>
        </w:rPr>
        <w:t>IgM</w:t>
      </w:r>
      <w:r>
        <w:t xml:space="preserve"> en hebben een </w:t>
      </w:r>
      <w:r>
        <w:rPr>
          <w:b/>
        </w:rPr>
        <w:t>lage affiniteit</w:t>
      </w:r>
      <w:r>
        <w:t xml:space="preserve">. Pathogene autoantistoffen zijn meestal </w:t>
      </w:r>
      <w:r>
        <w:rPr>
          <w:b/>
        </w:rPr>
        <w:t>IgG</w:t>
      </w:r>
      <w:r>
        <w:t xml:space="preserve"> en hebben een </w:t>
      </w:r>
      <w:r>
        <w:rPr>
          <w:b/>
        </w:rPr>
        <w:t>hoge affiniteit</w:t>
      </w:r>
      <w:r>
        <w:t>.</w:t>
      </w:r>
    </w:p>
    <w:p>
      <w:pPr>
        <w:pStyle w:val="Heading2"/>
      </w:pPr>
      <w:r>
        <w:t>Belangrijke reumatische auto-immuunziekten</w:t>
      </w:r>
    </w:p>
    <w:p>
      <w:r>
        <w:t>De bijeenkomst zet een aantal reumatische aandoeningen naast elkaar. Dat helpt om de klinische kenmerken te onthouden.</w:t>
      </w:r>
    </w:p>
    <w:tbl>
      <w:tblPr>
        <w:tblStyle w:val="TableGrid"/>
        <w:tblW w:type="auto" w:w="0"/>
        <w:tblLook w:firstColumn="1" w:firstRow="1" w:lastColumn="0" w:lastRow="0" w:noHBand="0" w:noVBand="1" w:val="04A0"/>
      </w:tblPr>
      <w:tblGrid>
        <w:gridCol w:w="4320"/>
        <w:gridCol w:w="4320"/>
      </w:tblGrid>
      <w:tr>
        <w:tc>
          <w:tcPr>
            <w:tcW w:type="dxa" w:w="4320"/>
          </w:tcPr>
          <w:p>
            <w:r>
              <w:t>Ziekte</w:t>
            </w:r>
          </w:p>
        </w:tc>
        <w:tc>
          <w:tcPr>
            <w:tcW w:type="dxa" w:w="4320"/>
          </w:tcPr>
          <w:p>
            <w:r>
              <w:t>Typische kernkenmerken</w:t>
            </w:r>
          </w:p>
        </w:tc>
      </w:tr>
      <w:tr>
        <w:tc>
          <w:tcPr>
            <w:tcW w:type="dxa" w:w="4320"/>
          </w:tcPr>
          <w:p>
            <w:r>
              <w:t>Reumatoïde artritis (RA)</w:t>
            </w:r>
          </w:p>
        </w:tc>
        <w:tc>
          <w:tcPr>
            <w:tcW w:type="dxa" w:w="4320"/>
          </w:tcPr>
          <w:p>
            <w:r>
              <w:t>gewrichtspijn, moeheid, gedeformeerde handgewrichten</w:t>
            </w:r>
          </w:p>
        </w:tc>
      </w:tr>
      <w:tr>
        <w:tc>
          <w:tcPr>
            <w:tcW w:type="dxa" w:w="4320"/>
          </w:tcPr>
          <w:p>
            <w:r>
              <w:t>Ziekte van Sjögren</w:t>
            </w:r>
          </w:p>
        </w:tc>
        <w:tc>
          <w:tcPr>
            <w:tcW w:type="dxa" w:w="4320"/>
          </w:tcPr>
          <w:p>
            <w:r>
              <w:t>droge ogen, droge mond, moeheid, zwelling van grote speekselklieren, gewrichtspijn</w:t>
            </w:r>
          </w:p>
        </w:tc>
      </w:tr>
      <w:tr>
        <w:tc>
          <w:tcPr>
            <w:tcW w:type="dxa" w:w="4320"/>
          </w:tcPr>
          <w:p>
            <w:r>
              <w:t>SLE</w:t>
            </w:r>
          </w:p>
        </w:tc>
        <w:tc>
          <w:tcPr>
            <w:tcW w:type="dxa" w:w="4320"/>
          </w:tcPr>
          <w:p>
            <w:r>
              <w:t>vlindervormig erytheem, gewrichtspijn, moeheid, glomerulonefritis</w:t>
            </w:r>
          </w:p>
        </w:tc>
      </w:tr>
      <w:tr>
        <w:tc>
          <w:tcPr>
            <w:tcW w:type="dxa" w:w="4320"/>
          </w:tcPr>
          <w:p>
            <w:r>
              <w:t>Systemische sclerose (SSc)</w:t>
            </w:r>
          </w:p>
        </w:tc>
        <w:tc>
          <w:tcPr>
            <w:tcW w:type="dxa" w:w="4320"/>
          </w:tcPr>
          <w:p>
            <w:r>
              <w:t>strakke huid, longfibrose, digitale ulcera, moeheid, gewrichtspijn</w:t>
            </w:r>
          </w:p>
        </w:tc>
      </w:tr>
      <w:tr>
        <w:tc>
          <w:tcPr>
            <w:tcW w:type="dxa" w:w="4320"/>
          </w:tcPr>
          <w:p>
            <w:r>
              <w:t>Idiopathische inflammatoire myopathie (IIM)</w:t>
            </w:r>
          </w:p>
        </w:tc>
        <w:tc>
          <w:tcPr>
            <w:tcW w:type="dxa" w:w="4320"/>
          </w:tcPr>
          <w:p>
            <w:r>
              <w:t>spierpijn en zwakte, Gottronse papels, moeheid, gewrichtspijn</w:t>
            </w:r>
          </w:p>
        </w:tc>
      </w:tr>
    </w:tbl>
    <w:p>
      <w:pPr>
        <w:pStyle w:val="Heading3"/>
      </w:pPr>
      <w:r>
        <w:t>Kort per ziektebeeld</w:t>
      </w:r>
    </w:p>
    <w:p>
      <w:r>
        <w:rPr>
          <w:b/>
        </w:rPr>
        <w:t>RA</w:t>
      </w:r>
      <w:r>
        <w:t xml:space="preserve"> is een chronische auto-immuunziekte van de synoviale gewrichten. Dat geeft pijn, stijfheid en gewrichtsschade. Er kunnen ook extra-articulaire klachten zijn, bijvoorbeeld van huid en longen.</w:t>
      </w:r>
    </w:p>
    <w:p>
      <w:r>
        <w:rPr>
          <w:b/>
        </w:rPr>
        <w:t>Sjögren</w:t>
      </w:r>
      <w:r>
        <w:t xml:space="preserve"> richt zich vooral tegen exocriene klieren. Daardoor ontstaan droge ogen en droge mond. Ook vermoeidheid, gewrichtspijn en orgaanbetrokkenheid kunnen voorkomen.</w:t>
      </w:r>
    </w:p>
    <w:p>
      <w:r>
        <w:rPr>
          <w:b/>
        </w:rPr>
        <w:t>SLE</w:t>
      </w:r>
      <w:r>
        <w:t xml:space="preserve"> is een systemische auto-immuunziekte met betrokkenheid van huid, gewrichten, nieren en soms het centrale zenuwstelsel. Het beloop wisselt met exacerbaties en remissies.</w:t>
      </w:r>
    </w:p>
    <w:p>
      <w:r>
        <w:rPr>
          <w:b/>
        </w:rPr>
        <w:t>Systemische sclerose</w:t>
      </w:r>
      <w:r>
        <w:t xml:space="preserve"> draait vooral om vasculopathie en fibrose. Endotheelbeschadiging leidt tot vaatvernauwing en verminderde perfusie, en collageenproductie zorgt voor fibrose van huid en organen.</w:t>
      </w:r>
    </w:p>
    <w:p>
      <w:r>
        <w:rPr>
          <w:b/>
        </w:rPr>
        <w:t>IIM</w:t>
      </w:r>
      <w:r>
        <w:t xml:space="preserve"> is een groep auto-immuunziekten met chronische spierontsteking en vooral proximale spierzwakte. Huidafwijkingen en longziekte kunnen ook voorkomen.</w:t>
      </w:r>
    </w:p>
    <w:p>
      <w:pPr>
        <w:pStyle w:val="Heading2"/>
      </w:pPr>
      <w:r>
        <w:t>Sjögren: classificatie en patiëntcategorieën</w:t>
      </w:r>
    </w:p>
    <w:p>
      <w:pPr>
        <w:pStyle w:val="Heading2"/>
      </w:pPr>
      <w:r>
        <w:t>Voor Sjögren zijn classificatiecriteria opgesteld. De belangrijkste punten zijn:</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Score</w:t>
            </w:r>
          </w:p>
        </w:tc>
      </w:tr>
      <w:tr>
        <w:tc>
          <w:tcPr>
            <w:tcW w:type="dxa" w:w="4320"/>
          </w:tcPr>
          <w:p>
            <w:r>
              <w:t>Labiaal speekselklierbiopt met focusscore ≥ 1</w:t>
            </w:r>
          </w:p>
        </w:tc>
        <w:tc>
          <w:tcPr>
            <w:tcW w:type="dxa" w:w="4320"/>
          </w:tcPr>
          <w:p>
            <w:r>
              <w:t>3</w:t>
            </w:r>
          </w:p>
        </w:tc>
      </w:tr>
      <w:tr>
        <w:tc>
          <w:tcPr>
            <w:tcW w:type="dxa" w:w="4320"/>
          </w:tcPr>
          <w:p>
            <w:r>
              <w:t>Anti-SS-A/Ro positief</w:t>
            </w:r>
          </w:p>
        </w:tc>
        <w:tc>
          <w:tcPr>
            <w:tcW w:type="dxa" w:w="4320"/>
          </w:tcPr>
          <w:p>
            <w:r>
              <w:t>3</w:t>
            </w:r>
          </w:p>
        </w:tc>
      </w:tr>
      <w:tr>
        <w:tc>
          <w:tcPr>
            <w:tcW w:type="dxa" w:w="4320"/>
          </w:tcPr>
          <w:p>
            <w:r>
              <w:t>Ocular staining score verhoogd</w:t>
            </w:r>
          </w:p>
        </w:tc>
        <w:tc>
          <w:tcPr>
            <w:tcW w:type="dxa" w:w="4320"/>
          </w:tcPr>
          <w:p>
            <w:r>
              <w:t>1</w:t>
            </w:r>
          </w:p>
        </w:tc>
      </w:tr>
      <w:tr>
        <w:tc>
          <w:tcPr>
            <w:tcW w:type="dxa" w:w="4320"/>
          </w:tcPr>
          <w:p>
            <w:r>
              <w:t>Schirmer-test ≤ 5 mm/5 min</w:t>
            </w:r>
          </w:p>
        </w:tc>
        <w:tc>
          <w:tcPr>
            <w:tcW w:type="dxa" w:w="4320"/>
          </w:tcPr>
          <w:p>
            <w:r>
              <w:t>1</w:t>
            </w:r>
          </w:p>
        </w:tc>
      </w:tr>
      <w:tr>
        <w:tc>
          <w:tcPr>
            <w:tcW w:type="dxa" w:w="4320"/>
          </w:tcPr>
          <w:p>
            <w:r>
              <w:t>Ongestroomde speekselvloed ≤ 0,1 ml/min</w:t>
            </w:r>
          </w:p>
        </w:tc>
        <w:tc>
          <w:tcPr>
            <w:tcW w:type="dxa" w:w="4320"/>
          </w:tcPr>
          <w:p>
            <w:r>
              <w:t>1</w:t>
            </w:r>
          </w:p>
        </w:tc>
      </w:tr>
    </w:tbl>
    <w:p>
      <w:r>
        <w:t xml:space="preserve">Een score van </w:t>
      </w:r>
      <w:r>
        <w:rPr>
          <w:b/>
        </w:rPr>
        <w:t>4 of meer</w:t>
      </w:r>
      <w:r>
        <w:t xml:space="preserve"> classificeert een patiënt, mits er sprake is van droge ogen en/of droge mond of verdenking op Sjögren en er geen exclusiecriteria zijn.</w:t>
      </w:r>
    </w:p>
    <w:p>
      <w:pPr>
        <w:pStyle w:val="Heading2"/>
      </w:pPr>
      <w:r>
        <w:t>Daarnaast worden patiënten in deze casus ingedeeld in vier groepen:</w:t>
      </w:r>
    </w:p>
    <w:p>
      <w:pPr>
        <w:pStyle w:val="ListBullet"/>
      </w:pPr>
      <w:r>
        <w:rPr>
          <w:b/>
        </w:rPr>
        <w:t>BALS</w:t>
      </w:r>
      <w:r>
        <w:t>: B-cell active disease and low symptom burden</w:t>
      </w:r>
    </w:p>
    <w:p>
      <w:pPr>
        <w:pStyle w:val="ListBullet"/>
      </w:pPr>
      <w:r>
        <w:rPr>
          <w:b/>
        </w:rPr>
        <w:t>HSA</w:t>
      </w:r>
      <w:r>
        <w:t>: high systemic disease activity</w:t>
      </w:r>
    </w:p>
    <w:p>
      <w:pPr>
        <w:pStyle w:val="ListBullet"/>
      </w:pPr>
      <w:r>
        <w:rPr>
          <w:b/>
        </w:rPr>
        <w:t>LSAHS</w:t>
      </w:r>
      <w:r>
        <w:t>: low systemic disease activity and high symptom burden</w:t>
      </w:r>
    </w:p>
    <w:p>
      <w:pPr>
        <w:pStyle w:val="ListBullet"/>
      </w:pPr>
      <w:r>
        <w:rPr>
          <w:b/>
        </w:rPr>
        <w:t>Overlapbeelden / orgaanspecifieke auto-immuniteit</w:t>
      </w:r>
    </w:p>
    <w:p>
      <w:pPr>
        <w:pStyle w:val="Heading3"/>
      </w:pPr>
      <w:r>
        <w:t>Hoe herken je de categorieën?</w:t>
      </w:r>
    </w:p>
    <w:p>
      <w:pPr>
        <w:pStyle w:val="ListBullet"/>
      </w:pPr>
      <w:r>
        <w:rPr>
          <w:b/>
        </w:rPr>
        <w:t>LSAHS</w:t>
      </w:r>
      <w:r>
        <w:t>: veel klachten, vooral droogte en vermoeidheid, maar weinig objectieve systemische activiteit</w:t>
      </w:r>
    </w:p>
    <w:p>
      <w:pPr>
        <w:pStyle w:val="ListBullet"/>
      </w:pPr>
      <w:r>
        <w:rPr>
          <w:b/>
        </w:rPr>
        <w:t>BALS</w:t>
      </w:r>
      <w:r>
        <w:t>: duidelijke B-celactivatie, maar relatief weinig klachten</w:t>
      </w:r>
    </w:p>
    <w:p>
      <w:pPr>
        <w:pStyle w:val="ListBullet"/>
      </w:pPr>
      <w:r>
        <w:rPr>
          <w:b/>
        </w:rPr>
        <w:t>HSA</w:t>
      </w:r>
      <w:r>
        <w:t>: duidelijke systemische orgaanbetrokkenheid, zoals neuropathie of longziekte</w:t>
      </w:r>
    </w:p>
    <w:p>
      <w:pPr>
        <w:pStyle w:val="ListBullet"/>
      </w:pPr>
      <w:r>
        <w:rPr>
          <w:b/>
        </w:rPr>
        <w:t>Categorie 4</w:t>
      </w:r>
      <w:r>
        <w:t>: Sjögren samen met een andere auto-immuunziekte, zoals SLE, SSc, IIM of Hashimoto</w:t>
      </w:r>
    </w:p>
    <w:p>
      <w:pPr>
        <w:pStyle w:val="Heading2"/>
      </w:pPr>
      <w:r>
        <w:t>Klinische redenering bij de casussen</w:t>
      </w:r>
    </w:p>
    <w:p>
      <w:pPr>
        <w:pStyle w:val="Heading3"/>
      </w:pPr>
      <w:r>
        <w:t>Casus 1: LSAHS</w:t>
      </w:r>
    </w:p>
    <w:p>
      <w:pPr>
        <w:pStyle w:val="Heading2"/>
      </w:pPr>
      <w:r>
        <w:t>Deze patiënt heeft vooral:</w:t>
      </w:r>
    </w:p>
    <w:p>
      <w:pPr>
        <w:pStyle w:val="ListBullet"/>
      </w:pPr>
      <w:r>
        <w:t>moeheid</w:t>
      </w:r>
    </w:p>
    <w:p>
      <w:pPr>
        <w:pStyle w:val="ListBullet"/>
      </w:pPr>
      <w:r>
        <w:t>pijn en ochtendstijfheid van de kleine handgewrichten</w:t>
      </w:r>
    </w:p>
    <w:p>
      <w:pPr>
        <w:pStyle w:val="ListBullet"/>
      </w:pPr>
      <w:r>
        <w:t>droge mond</w:t>
      </w:r>
    </w:p>
    <w:p>
      <w:pPr>
        <w:pStyle w:val="ListBullet"/>
      </w:pPr>
      <w:r>
        <w:t>afwijkende speekselfunctie</w:t>
      </w:r>
    </w:p>
    <w:p>
      <w:pPr>
        <w:pStyle w:val="ListBullet"/>
      </w:pPr>
      <w:r>
        <w:t>positieve ANA en anti-SSA60</w:t>
      </w:r>
    </w:p>
    <w:p>
      <w:pPr>
        <w:pStyle w:val="ListBullet"/>
      </w:pPr>
      <w:r>
        <w:t>afwijkend parotisbiopt</w:t>
      </w:r>
    </w:p>
    <w:p>
      <w:r>
        <w:t xml:space="preserve">De Schirmer-test is normaal, dus er is geen duidelijke oogbetrokkenheid. De systemische activiteit is laag, maar de klachtenlast is hoog. Daarom past dit bij </w:t>
      </w:r>
      <w:r>
        <w:rPr>
          <w:b/>
        </w:rPr>
        <w:t>LSAHS</w:t>
      </w:r>
      <w:r>
        <w:t>.</w:t>
      </w:r>
    </w:p>
    <w:p>
      <w:r>
        <w:t xml:space="preserve">De conclusie is Sjögren met vooral </w:t>
      </w:r>
      <w:r>
        <w:rPr>
          <w:b/>
        </w:rPr>
        <w:t>inflammatoire artralgie</w:t>
      </w:r>
      <w:r>
        <w:t xml:space="preserve"> en </w:t>
      </w:r>
      <w:r>
        <w:rPr>
          <w:b/>
        </w:rPr>
        <w:t>vermoeidheid</w:t>
      </w:r>
      <w:r>
        <w:t>.</w:t>
      </w:r>
    </w:p>
    <w:p>
      <w:r>
        <w:rPr>
          <w:b/>
        </w:rPr>
        <w:t>Behandeling:</w:t>
      </w:r>
      <w:r>
        <w:t xml:space="preserve"> vooral symptomatisch en gericht op droogte en klachten:</w:t>
      </w:r>
    </w:p>
    <w:p>
      <w:pPr>
        <w:pStyle w:val="ListBullet"/>
      </w:pPr>
      <w:r>
        <w:t>hydroxychloroquine</w:t>
      </w:r>
    </w:p>
    <w:p>
      <w:pPr>
        <w:pStyle w:val="ListBullet"/>
      </w:pPr>
      <w:r>
        <w:t>paracetamol en kortdurend NSAID bij pijnlijke gewrichten zonder duidelijke ontstekingsklachten</w:t>
      </w:r>
    </w:p>
    <w:p>
      <w:pPr>
        <w:pStyle w:val="ListBullet"/>
      </w:pPr>
      <w:r>
        <w:t>mondzorg en speekselstimulerende maatregelen</w:t>
      </w:r>
    </w:p>
    <w:p>
      <w:pPr>
        <w:pStyle w:val="Heading3"/>
      </w:pPr>
      <w:r>
        <w:t>Casus 2: Sjögren met overlap</w:t>
      </w:r>
    </w:p>
    <w:p>
      <w:pPr>
        <w:pStyle w:val="Heading2"/>
      </w:pPr>
      <w:r>
        <w:t>Deze patiënt heeft:</w:t>
      </w:r>
    </w:p>
    <w:p>
      <w:pPr>
        <w:pStyle w:val="ListBullet"/>
      </w:pPr>
      <w:r>
        <w:t>droge ogen</w:t>
      </w:r>
    </w:p>
    <w:p>
      <w:pPr>
        <w:pStyle w:val="ListBullet"/>
      </w:pPr>
      <w:r>
        <w:t>droge huid</w:t>
      </w:r>
    </w:p>
    <w:p>
      <w:pPr>
        <w:pStyle w:val="ListBullet"/>
      </w:pPr>
      <w:r>
        <w:t>vermoeidheid</w:t>
      </w:r>
    </w:p>
    <w:p>
      <w:pPr>
        <w:pStyle w:val="ListBullet"/>
      </w:pPr>
      <w:r>
        <w:t>gewichtstoename</w:t>
      </w:r>
    </w:p>
    <w:p>
      <w:pPr>
        <w:pStyle w:val="ListBullet"/>
      </w:pPr>
      <w:r>
        <w:t>kouwelijkheid</w:t>
      </w:r>
    </w:p>
    <w:p>
      <w:pPr>
        <w:pStyle w:val="ListBullet"/>
      </w:pPr>
      <w:r>
        <w:t>obstipatie</w:t>
      </w:r>
    </w:p>
    <w:p>
      <w:pPr>
        <w:pStyle w:val="ListBullet"/>
      </w:pPr>
      <w:r>
        <w:t>verhoogde TSH en verlaagd vrij T4</w:t>
      </w:r>
    </w:p>
    <w:p>
      <w:pPr>
        <w:pStyle w:val="ListBullet"/>
      </w:pPr>
      <w:r>
        <w:t>anti-TPO positief</w:t>
      </w:r>
    </w:p>
    <w:p>
      <w:r>
        <w:t xml:space="preserve">Hier is sprake van Sjögren met daarnaast </w:t>
      </w:r>
      <w:r>
        <w:rPr>
          <w:b/>
        </w:rPr>
        <w:t>Hashimoto-thyreoïditis</w:t>
      </w:r>
      <w:r>
        <w:t>. De droge ogen passen bij Sjögren, en de schildklierafwijkingen passen bij Hashimoto.</w:t>
      </w:r>
    </w:p>
    <w:p>
      <w:r>
        <w:rPr>
          <w:b/>
        </w:rPr>
        <w:t>Behandeling:</w:t>
      </w:r>
    </w:p>
    <w:p>
      <w:pPr>
        <w:pStyle w:val="ListBullet"/>
      </w:pPr>
      <w:r>
        <w:t>oogbehandeling voor sicca</w:t>
      </w:r>
    </w:p>
    <w:p>
      <w:pPr>
        <w:pStyle w:val="ListBullet"/>
      </w:pPr>
      <w:r>
        <w:t xml:space="preserve">behandeling van de overlapziekte met </w:t>
      </w:r>
      <w:r>
        <w:rPr>
          <w:b/>
        </w:rPr>
        <w:t>levothyroxine</w:t>
      </w:r>
    </w:p>
    <w:p>
      <w:pPr>
        <w:pStyle w:val="Heading3"/>
      </w:pPr>
      <w:r>
        <w:t>Casus 3: BALS</w:t>
      </w:r>
    </w:p>
    <w:p>
      <w:pPr>
        <w:pStyle w:val="Heading2"/>
      </w:pPr>
      <w:r>
        <w:t>Deze patiënt heeft:</w:t>
      </w:r>
    </w:p>
    <w:p>
      <w:pPr>
        <w:pStyle w:val="ListBullet"/>
      </w:pPr>
      <w:r>
        <w:t>droge ogen</w:t>
      </w:r>
    </w:p>
    <w:p>
      <w:pPr>
        <w:pStyle w:val="ListBullet"/>
      </w:pPr>
      <w:r>
        <w:t>droge mond</w:t>
      </w:r>
    </w:p>
    <w:p>
      <w:pPr>
        <w:pStyle w:val="ListBullet"/>
      </w:pPr>
      <w:r>
        <w:t>hoge ANA-titer</w:t>
      </w:r>
    </w:p>
    <w:p>
      <w:pPr>
        <w:pStyle w:val="ListBullet"/>
      </w:pPr>
      <w:r>
        <w:t>anti-SSA52, anti-SSA60 en anti-SSB positief</w:t>
      </w:r>
    </w:p>
    <w:p>
      <w:pPr>
        <w:pStyle w:val="ListBullet"/>
      </w:pPr>
      <w:r>
        <w:t>verhoogd IgG</w:t>
      </w:r>
    </w:p>
    <w:p>
      <w:pPr>
        <w:pStyle w:val="ListBullet"/>
      </w:pPr>
      <w:r>
        <w:t>verlaagd complement</w:t>
      </w:r>
    </w:p>
    <w:p>
      <w:pPr>
        <w:pStyle w:val="ListBullet"/>
      </w:pPr>
      <w:r>
        <w:t>afwijkende Schirmer-test</w:t>
      </w:r>
    </w:p>
    <w:p>
      <w:pPr>
        <w:pStyle w:val="ListBullet"/>
      </w:pPr>
      <w:r>
        <w:t>afwijkend speekselklierbiopt</w:t>
      </w:r>
    </w:p>
    <w:p>
      <w:r>
        <w:t xml:space="preserve">Er is dus duidelijke </w:t>
      </w:r>
      <w:r>
        <w:rPr>
          <w:b/>
        </w:rPr>
        <w:t>B-celactivatie</w:t>
      </w:r>
      <w:r>
        <w:t xml:space="preserve">. Tegelijk is de ziektelast qua klachten relatief laag. Dit past bij </w:t>
      </w:r>
      <w:r>
        <w:rPr>
          <w:b/>
        </w:rPr>
        <w:t>BALS</w:t>
      </w:r>
      <w:r>
        <w:t>.</w:t>
      </w:r>
    </w:p>
    <w:p>
      <w:r>
        <w:rPr>
          <w:b/>
        </w:rPr>
        <w:t>Behandeling:</w:t>
      </w:r>
      <w:r>
        <w:t xml:space="preserve"> vooral droogtebehandeling:</w:t>
      </w:r>
    </w:p>
    <w:p>
      <w:pPr>
        <w:pStyle w:val="ListBullet"/>
      </w:pPr>
      <w:r>
        <w:t>mondzorg</w:t>
      </w:r>
    </w:p>
    <w:p>
      <w:pPr>
        <w:pStyle w:val="ListBullet"/>
      </w:pPr>
      <w:r>
        <w:t>kunstspeeksel</w:t>
      </w:r>
    </w:p>
    <w:p>
      <w:pPr>
        <w:pStyle w:val="ListBullet"/>
      </w:pPr>
      <w:r>
        <w:t>pilocarpine</w:t>
      </w:r>
    </w:p>
    <w:p>
      <w:pPr>
        <w:pStyle w:val="ListBullet"/>
      </w:pPr>
      <w:r>
        <w:t>oogdruppels, ooggel of oogzalf</w:t>
      </w:r>
    </w:p>
    <w:p>
      <w:pPr>
        <w:pStyle w:val="ListBullet"/>
      </w:pPr>
      <w:r>
        <w:t>punctum plugs indien nodig</w:t>
      </w:r>
    </w:p>
    <w:p>
      <w:pPr>
        <w:pStyle w:val="Heading3"/>
      </w:pPr>
      <w:r>
        <w:t>Casus 4: HSA</w:t>
      </w:r>
    </w:p>
    <w:p>
      <w:pPr>
        <w:pStyle w:val="Heading2"/>
      </w:pPr>
      <w:r>
        <w:t>Deze patiënt heeft Sjögren met:</w:t>
      </w:r>
    </w:p>
    <w:p>
      <w:pPr>
        <w:pStyle w:val="ListBullet"/>
      </w:pPr>
      <w:r>
        <w:t>droge ogen en droge mond</w:t>
      </w:r>
    </w:p>
    <w:p>
      <w:pPr>
        <w:pStyle w:val="ListBullet"/>
      </w:pPr>
      <w:r>
        <w:t>Raynaud</w:t>
      </w:r>
    </w:p>
    <w:p>
      <w:pPr>
        <w:pStyle w:val="ListBullet"/>
      </w:pPr>
      <w:r>
        <w:t>ernstige dunne vezelneuropathie</w:t>
      </w:r>
    </w:p>
    <w:p>
      <w:pPr>
        <w:pStyle w:val="ListBullet"/>
      </w:pPr>
      <w:r>
        <w:t>later interstitiële longziekte</w:t>
      </w:r>
    </w:p>
    <w:p>
      <w:r>
        <w:t xml:space="preserve">Dit is een patiënt met </w:t>
      </w:r>
      <w:r>
        <w:rPr>
          <w:b/>
        </w:rPr>
        <w:t>hoge systemische ziekteactiviteit</w:t>
      </w:r>
      <w:r>
        <w:t xml:space="preserve">. Daarom hoort hij bij </w:t>
      </w:r>
      <w:r>
        <w:rPr>
          <w:b/>
        </w:rPr>
        <w:t>HSA</w:t>
      </w:r>
      <w:r>
        <w:t>.</w:t>
      </w:r>
    </w:p>
    <w:p>
      <w:r>
        <w:rPr>
          <w:b/>
        </w:rPr>
        <w:t>Behandeling:</w:t>
      </w:r>
    </w:p>
    <w:p>
      <w:pPr>
        <w:pStyle w:val="ListBullet"/>
      </w:pPr>
      <w:r>
        <w:t>punctum plugs</w:t>
      </w:r>
    </w:p>
    <w:p>
      <w:pPr>
        <w:pStyle w:val="ListBullet"/>
      </w:pPr>
      <w:r>
        <w:t>nifedipine voor Raynaud</w:t>
      </w:r>
    </w:p>
    <w:p>
      <w:pPr>
        <w:pStyle w:val="ListBullet"/>
      </w:pPr>
      <w:r>
        <w:t>behandeling van neuropathie via neuroloog</w:t>
      </w:r>
    </w:p>
    <w:p>
      <w:pPr>
        <w:pStyle w:val="ListBullet"/>
      </w:pPr>
      <w:r>
        <w:t>bij longbetrokkenheid: systemische immunosuppressieve behandeling</w:t>
      </w:r>
    </w:p>
    <w:p>
      <w:pPr>
        <w:pStyle w:val="Heading2"/>
      </w:pPr>
      <w:r>
        <w:t>Behandeling van Sjögren per type klacht</w:t>
      </w:r>
    </w:p>
    <w:p>
      <w:pPr>
        <w:pStyle w:val="Heading3"/>
      </w:pPr>
      <w:r>
        <w:t>Droge mond</w:t>
      </w:r>
    </w:p>
    <w:p>
      <w:r>
        <w:t>Bij orale sicca zijn de doelen: de mond vochtig houden, speekselproductie stimuleren en tandproblemen voorkomen.</w:t>
      </w:r>
    </w:p>
    <w:p>
      <w:pPr>
        <w:pStyle w:val="Heading2"/>
      </w:pPr>
      <w:r>
        <w:t>Maatregelen:</w:t>
      </w:r>
    </w:p>
    <w:p>
      <w:pPr>
        <w:pStyle w:val="ListBullet"/>
      </w:pPr>
      <w:r>
        <w:t>goede mondhygiëne</w:t>
      </w:r>
    </w:p>
    <w:p>
      <w:pPr>
        <w:pStyle w:val="ListBullet"/>
      </w:pPr>
      <w:r>
        <w:t>tandarts of mondhygiënist 4 keer per jaar</w:t>
      </w:r>
    </w:p>
    <w:p>
      <w:pPr>
        <w:pStyle w:val="ListBullet"/>
      </w:pPr>
      <w:r>
        <w:t>tandpasta met hoge fluorideconcentratie</w:t>
      </w:r>
    </w:p>
    <w:p>
      <w:pPr>
        <w:pStyle w:val="ListBullet"/>
      </w:pPr>
      <w:r>
        <w:t>suikervrije zuurtjes</w:t>
      </w:r>
    </w:p>
    <w:p>
      <w:pPr>
        <w:pStyle w:val="ListBullet"/>
      </w:pPr>
      <w:r>
        <w:t>xylitolkauwgom</w:t>
      </w:r>
    </w:p>
    <w:p>
      <w:pPr>
        <w:pStyle w:val="ListBullet"/>
      </w:pPr>
      <w:r>
        <w:t>mondgels en mondsprays</w:t>
      </w:r>
    </w:p>
    <w:p>
      <w:pPr>
        <w:pStyle w:val="ListBullet"/>
      </w:pPr>
      <w:r>
        <w:t>kunstspeeksel</w:t>
      </w:r>
    </w:p>
    <w:p>
      <w:pPr>
        <w:pStyle w:val="ListBullet"/>
      </w:pPr>
      <w:r>
        <w:t>pilocarpine</w:t>
      </w:r>
    </w:p>
    <w:p>
      <w:pPr>
        <w:pStyle w:val="ListBullet"/>
      </w:pPr>
      <w:r>
        <w:t>xylimelts</w:t>
      </w:r>
    </w:p>
    <w:p>
      <w:r>
        <w:t>Droogte-inducerende medicatie moet zoveel mogelijk worden vermeden, zoals antidepressiva, anxiolytica, antipsychotica, antihistaminica en opiaten.</w:t>
      </w:r>
    </w:p>
    <w:p>
      <w:pPr>
        <w:pStyle w:val="Heading3"/>
      </w:pPr>
      <w:r>
        <w:t>Droge ogen</w:t>
      </w:r>
    </w:p>
    <w:p>
      <w:pPr>
        <w:pStyle w:val="Heading2"/>
      </w:pPr>
      <w:r>
        <w:t>Bij oculaire sicca zijn de opties:</w:t>
      </w:r>
    </w:p>
    <w:p>
      <w:pPr>
        <w:pStyle w:val="ListBullet"/>
      </w:pPr>
      <w:r>
        <w:t>oogdruppels</w:t>
      </w:r>
    </w:p>
    <w:p>
      <w:pPr>
        <w:pStyle w:val="ListBullet"/>
      </w:pPr>
      <w:r>
        <w:t>ooggel</w:t>
      </w:r>
    </w:p>
    <w:p>
      <w:pPr>
        <w:pStyle w:val="ListBullet"/>
      </w:pPr>
      <w:r>
        <w:t>oogzalf</w:t>
      </w:r>
    </w:p>
    <w:p>
      <w:pPr>
        <w:pStyle w:val="ListBullet"/>
      </w:pPr>
      <w:r>
        <w:t>bij inflammatie: NSAID-, corticosteroïd- of ciclosporine-oogdruppels onder supervisie van de oogarts</w:t>
      </w:r>
    </w:p>
    <w:p>
      <w:pPr>
        <w:pStyle w:val="ListBullet"/>
      </w:pPr>
      <w:r>
        <w:t>pilocarpine</w:t>
      </w:r>
    </w:p>
    <w:p>
      <w:pPr>
        <w:pStyle w:val="ListBullet"/>
      </w:pPr>
      <w:r>
        <w:t>punctum plugs</w:t>
      </w:r>
    </w:p>
    <w:p>
      <w:pPr>
        <w:pStyle w:val="ListBullet"/>
      </w:pPr>
      <w:r>
        <w:t>oogdruppels van eigen serum</w:t>
      </w:r>
    </w:p>
    <w:p>
      <w:r>
        <w:t>Ook hier geldt: vermijd middelen die droogte verergeren.</w:t>
      </w:r>
    </w:p>
    <w:p>
      <w:pPr>
        <w:pStyle w:val="Heading3"/>
      </w:pPr>
      <w:r>
        <w:t>Systemische ziekteactiviteit</w:t>
      </w:r>
    </w:p>
    <w:p>
      <w:r>
        <w:t>Bij meer actieve systemische ziekte of overlap met andere auto-immuunziekten worden gebruikt:</w:t>
      </w:r>
    </w:p>
    <w:p>
      <w:pPr>
        <w:pStyle w:val="ListBullet"/>
      </w:pPr>
      <w:r>
        <w:t>corticosteroïden</w:t>
      </w:r>
    </w:p>
    <w:p>
      <w:pPr>
        <w:pStyle w:val="ListBullet"/>
      </w:pPr>
      <w:r>
        <w:t>conventionele DMARDs zoals mycofenolaat mofetil, azathioprine en methotrexaat</w:t>
      </w:r>
    </w:p>
    <w:p>
      <w:pPr>
        <w:pStyle w:val="ListBullet"/>
      </w:pPr>
      <w:r>
        <w:t>B-celtherapie zoals rituximab en belimumab</w:t>
      </w:r>
    </w:p>
    <w:p>
      <w:pPr>
        <w:pStyle w:val="ListBullet"/>
      </w:pPr>
      <w:r>
        <w:t>cyclofosfamide bij ernstige orgaanbetrokkenheid</w:t>
      </w:r>
    </w:p>
    <w:p>
      <w:pPr>
        <w:pStyle w:val="Heading2"/>
      </w:pPr>
      <w:r>
        <w:t>Belangrijke geneesmiddelen</w:t>
      </w:r>
    </w:p>
    <w:tbl>
      <w:tblPr>
        <w:tblStyle w:val="TableGrid"/>
        <w:tblW w:type="auto" w:w="0"/>
        <w:tblLook w:firstColumn="1" w:firstRow="1" w:lastColumn="0" w:lastRow="0" w:noHBand="0" w:noVBand="1" w:val="04A0"/>
      </w:tblPr>
      <w:tblGrid>
        <w:gridCol w:w="4320"/>
        <w:gridCol w:w="4320"/>
      </w:tblGrid>
      <w:tr>
        <w:tc>
          <w:tcPr>
            <w:tcW w:type="dxa" w:w="4320"/>
          </w:tcPr>
          <w:p>
            <w:r>
              <w:t>Geneesmiddel</w:t>
            </w:r>
          </w:p>
        </w:tc>
        <w:tc>
          <w:tcPr>
            <w:tcW w:type="dxa" w:w="4320"/>
          </w:tcPr>
          <w:p>
            <w:r>
              <w:t>Werking</w:t>
            </w:r>
          </w:p>
        </w:tc>
      </w:tr>
      <w:tr>
        <w:tc>
          <w:tcPr>
            <w:tcW w:type="dxa" w:w="4320"/>
          </w:tcPr>
          <w:p>
            <w:r>
              <w:t>Hydroxychloroquine</w:t>
            </w:r>
          </w:p>
        </w:tc>
        <w:tc>
          <w:tcPr>
            <w:tcW w:type="dxa" w:w="4320"/>
          </w:tcPr>
          <w:p>
            <w:r>
              <w:t>remt TLR7 en TLR9, belangrijk bij type I interferon-activatie</w:t>
            </w:r>
          </w:p>
        </w:tc>
      </w:tr>
      <w:tr>
        <w:tc>
          <w:tcPr>
            <w:tcW w:type="dxa" w:w="4320"/>
          </w:tcPr>
          <w:p>
            <w:r>
              <w:t>Pilocarpine</w:t>
            </w:r>
          </w:p>
        </w:tc>
        <w:tc>
          <w:tcPr>
            <w:tcW w:type="dxa" w:w="4320"/>
          </w:tcPr>
          <w:p>
            <w:r>
              <w:t>muscarine-agonist, stimuleert speeksel- en traanklieren</w:t>
            </w:r>
          </w:p>
        </w:tc>
      </w:tr>
      <w:tr>
        <w:tc>
          <w:tcPr>
            <w:tcW w:type="dxa" w:w="4320"/>
          </w:tcPr>
          <w:p>
            <w:r>
              <w:t>Mycofenolaat mofetil</w:t>
            </w:r>
          </w:p>
        </w:tc>
        <w:tc>
          <w:tcPr>
            <w:tcW w:type="dxa" w:w="4320"/>
          </w:tcPr>
          <w:p>
            <w:r>
              <w:t>remt purinesynthese, remt T- en B-celproliferatie</w:t>
            </w:r>
          </w:p>
        </w:tc>
      </w:tr>
      <w:tr>
        <w:tc>
          <w:tcPr>
            <w:tcW w:type="dxa" w:w="4320"/>
          </w:tcPr>
          <w:p>
            <w:r>
              <w:t>Azathioprine</w:t>
            </w:r>
          </w:p>
        </w:tc>
        <w:tc>
          <w:tcPr>
            <w:tcW w:type="dxa" w:w="4320"/>
          </w:tcPr>
          <w:p>
            <w:r>
              <w:t>remt DNA-synthese, vooral effect op snel delende T- en B-cellen</w:t>
            </w:r>
          </w:p>
        </w:tc>
      </w:tr>
      <w:tr>
        <w:tc>
          <w:tcPr>
            <w:tcW w:type="dxa" w:w="4320"/>
          </w:tcPr>
          <w:p>
            <w:r>
              <w:t>Methotrexaat</w:t>
            </w:r>
          </w:p>
        </w:tc>
        <w:tc>
          <w:tcPr>
            <w:tcW w:type="dxa" w:w="4320"/>
          </w:tcPr>
          <w:p>
            <w:r>
              <w:t>remt foliumzuurmetabolisme, remt DNA-, RNA- en eiwitsynthese</w:t>
            </w:r>
          </w:p>
        </w:tc>
      </w:tr>
      <w:tr>
        <w:tc>
          <w:tcPr>
            <w:tcW w:type="dxa" w:w="4320"/>
          </w:tcPr>
          <w:p>
            <w:r>
              <w:t>Rituximab</w:t>
            </w:r>
          </w:p>
        </w:tc>
        <w:tc>
          <w:tcPr>
            <w:tcW w:type="dxa" w:w="4320"/>
          </w:tcPr>
          <w:p>
            <w:r>
              <w:t>anti-CD20, veroorzaakt afbraak van CD20-positieve B-cellen</w:t>
            </w:r>
          </w:p>
        </w:tc>
      </w:tr>
      <w:tr>
        <w:tc>
          <w:tcPr>
            <w:tcW w:type="dxa" w:w="4320"/>
          </w:tcPr>
          <w:p>
            <w:r>
              <w:t>Belimumab</w:t>
            </w:r>
          </w:p>
        </w:tc>
        <w:tc>
          <w:tcPr>
            <w:tcW w:type="dxa" w:w="4320"/>
          </w:tcPr>
          <w:p>
            <w:r>
              <w:t>remt BAFF, belangrijk voor overleving en activatie van B-cellen</w:t>
            </w:r>
          </w:p>
        </w:tc>
      </w:tr>
      <w:tr>
        <w:tc>
          <w:tcPr>
            <w:tcW w:type="dxa" w:w="4320"/>
          </w:tcPr>
          <w:p>
            <w:r>
              <w:t>Cyclofosfamide</w:t>
            </w:r>
          </w:p>
        </w:tc>
        <w:tc>
          <w:tcPr>
            <w:tcW w:type="dxa" w:w="4320"/>
          </w:tcPr>
          <w:p>
            <w:r>
              <w:t>alkylerend cytostaticum, beschadigt DNA in snel delende cellen</w:t>
            </w:r>
          </w:p>
        </w:tc>
      </w:tr>
      <w:tr>
        <w:tc>
          <w:tcPr>
            <w:tcW w:type="dxa" w:w="4320"/>
          </w:tcPr>
          <w:p>
            <w:r>
              <w:t>Nifedipine</w:t>
            </w:r>
          </w:p>
        </w:tc>
        <w:tc>
          <w:tcPr>
            <w:tcW w:type="dxa" w:w="4320"/>
          </w:tcPr>
          <w:p>
            <w:r>
              <w:t>calciumantagonist, vaatverwijdend bij Raynaud</w:t>
            </w:r>
          </w:p>
        </w:tc>
      </w:tr>
      <w:tr>
        <w:tc>
          <w:tcPr>
            <w:tcW w:type="dxa" w:w="4320"/>
          </w:tcPr>
          <w:p>
            <w:r>
              <w:t>Levothyroxine</w:t>
            </w:r>
          </w:p>
        </w:tc>
        <w:tc>
          <w:tcPr>
            <w:tcW w:type="dxa" w:w="4320"/>
          </w:tcPr>
          <w:p>
            <w:r>
              <w:t>substitutie bij hypothyreoïdie door Hashimoto</w:t>
            </w:r>
          </w:p>
        </w:tc>
      </w:tr>
    </w:tbl>
    <w:p>
      <w:pPr>
        <w:pStyle w:val="Heading2"/>
      </w:pPr>
      <w:r>
        <w:t>Samenvatting</w:t>
      </w:r>
    </w:p>
    <w:p>
      <w:r>
        <w:t xml:space="preserve">Deze casusbijeenkomst draait om het herkennen en begrijpen van </w:t>
      </w:r>
      <w:r>
        <w:rPr>
          <w:b/>
        </w:rPr>
        <w:t>auto-immuunziekten</w:t>
      </w:r>
      <w:r>
        <w:t>, met Sjögren als hoofdvoorbeeld. Belangrijk is het onderscheid tussen immuundeficiëntie, auto-inflammatie en auto-immuniteit. T-cellen worden in de thymus geselecteerd via positieve selectie in de cortex en negatieve selectie in de medulla. In de periferie zorgen anergie, suppressie en immune privileged sites voor extra tolerantie.</w:t>
      </w:r>
    </w:p>
    <w:p>
      <w:r>
        <w:t>Sjögren kan heel verschillend verlopen: van vooral droogte en vermoeidheid tot duidelijke systemische ziekteactiviteit of overlap met andere auto-immuunziekten. De diagnose steunt op klachten, objectieve testen zoals Schirmer en speekselfunctie, autoantistoffen en speekselklierbiopt. De behandeling hangt af van het dominante beeld: droogtebehandeling, symptomatische therapie, of systemische immunosuppressie bij actieve ziekte.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