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Casusbijeenkomst: Multipel myeloom</w:t>
      </w:r>
    </w:p>
    <w:p>
      <w:pPr>
        <w:pStyle w:val="Heading1"/>
      </w:pPr>
      <w:r>
        <w:t>Leerdoelen</w:t>
      </w:r>
    </w:p>
    <w:p>
      <w:pPr>
        <w:pStyle w:val="ListBullet"/>
      </w:pPr>
      <w:r>
        <w:t>Uitleggen hoe je de respons op inductie- en consolidatiebehandeling bij multipel myeloom beoordeelt.</w:t>
      </w:r>
    </w:p>
    <w:p>
      <w:pPr>
        <w:pStyle w:val="ListBullet"/>
      </w:pPr>
      <w:r>
        <w:t>Herkennen dat progressie onder lenalidomide-onderhoud betekent dat de patiënt lenalidomide-refractair is.</w:t>
      </w:r>
    </w:p>
    <w:p>
      <w:pPr>
        <w:pStyle w:val="ListBullet"/>
      </w:pPr>
      <w:r>
        <w:t>Bepalen welke 2e-lijns behandeling passend is bij een patiënt met terugkerend multipel myeloom.</w:t>
      </w:r>
    </w:p>
    <w:p>
      <w:pPr>
        <w:pStyle w:val="ListBullet"/>
      </w:pPr>
      <w:r>
        <w:t>De belangrijkste werkingsmechanismen van daratumumab, isatuximab, bortezomib, carfilzomib, dexamethason en pomalidomide uitleggen.</w:t>
      </w:r>
    </w:p>
    <w:p>
      <w:pPr>
        <w:pStyle w:val="ListBullet"/>
      </w:pPr>
      <w:r>
        <w:t>Klinisch redeneren bij multipel myeloom: van klachten en labafwijkingen naar diagnose, vervolgonderzoek en beleid.</w:t>
      </w:r>
    </w:p>
    <w:p>
      <w:pPr>
        <w:pStyle w:val="ListBullet"/>
      </w:pPr>
      <w:r>
        <w:t>Het gesprek over shared decision making en informed consent bij gevorderd multipel myeloom kunnen begrijpen.</w:t>
      </w:r>
    </w:p>
    <w:p>
      <w:pPr>
        <w:pStyle w:val="Heading2"/>
      </w:pPr>
      <w:r>
        <w:t>Casus en klinische context</w:t>
      </w:r>
    </w:p>
    <w:p>
      <w:r>
        <w:t xml:space="preserve">Multipel myeloom is een ziekte van ontspoorde </w:t>
      </w:r>
      <w:r>
        <w:rPr>
          <w:b/>
        </w:rPr>
        <w:t>plasmacellen</w:t>
      </w:r>
      <w:r>
        <w:t xml:space="preserve">. Plasmacellen zijn afweercellen die normaal antistoffen maken. Bij multipel myeloom maken deze cellen één soort afwijkend eiwit, het </w:t>
      </w:r>
      <w:r>
        <w:rPr>
          <w:b/>
        </w:rPr>
        <w:t>M-proteïne</w:t>
      </w:r>
      <w:r>
        <w:t>. Dat eiwit kan in het bloed aantoonbaar zijn en helpt bij diagnose en follow-up.</w:t>
      </w:r>
    </w:p>
    <w:p>
      <w:r>
        <w:t xml:space="preserve">In deze casus gaat het om een vrouw met een symptomatisch multipel myeloom, </w:t>
      </w:r>
      <w:r>
        <w:rPr>
          <w:b/>
        </w:rPr>
        <w:t>IgG kappa</w:t>
      </w:r>
      <w:r>
        <w:t xml:space="preserve">, met </w:t>
      </w:r>
      <w:r>
        <w:rPr>
          <w:b/>
        </w:rPr>
        <w:t>anemie</w:t>
      </w:r>
      <w:r>
        <w:t xml:space="preserve"> en </w:t>
      </w:r>
      <w:r>
        <w:rPr>
          <w:b/>
        </w:rPr>
        <w:t>lytische botafwijkingen</w:t>
      </w:r>
      <w:r>
        <w:t>. Zij is behandeld met:</w:t>
      </w:r>
    </w:p>
    <w:p>
      <w:pPr>
        <w:pStyle w:val="ListBullet"/>
      </w:pPr>
      <w:r>
        <w:t xml:space="preserve">4 inductiekuren </w:t>
      </w:r>
      <w:r>
        <w:rPr>
          <w:b/>
        </w:rPr>
        <w:t>VRD</w:t>
      </w:r>
    </w:p>
    <w:p>
      <w:pPr>
        <w:pStyle w:val="ListBullet"/>
      </w:pPr>
      <w:r>
        <w:t>bortezomib</w:t>
      </w:r>
    </w:p>
    <w:p>
      <w:pPr>
        <w:pStyle w:val="ListBullet"/>
      </w:pPr>
      <w:r>
        <w:t>lenalidomide</w:t>
      </w:r>
    </w:p>
    <w:p>
      <w:pPr>
        <w:pStyle w:val="ListBullet"/>
      </w:pPr>
      <w:r>
        <w:t>dexamethason</w:t>
      </w:r>
    </w:p>
    <w:p>
      <w:pPr>
        <w:pStyle w:val="ListBullet"/>
      </w:pPr>
      <w:r>
        <w:t xml:space="preserve">daarna </w:t>
      </w:r>
      <w:r>
        <w:rPr>
          <w:b/>
        </w:rPr>
        <w:t>hoge dosis melfalan</w:t>
      </w:r>
      <w:r>
        <w:t xml:space="preserve"> en een </w:t>
      </w:r>
      <w:r>
        <w:rPr>
          <w:b/>
        </w:rPr>
        <w:t>autologe stamceltransplantatie</w:t>
      </w:r>
    </w:p>
    <w:p>
      <w:pPr>
        <w:pStyle w:val="ListBullet"/>
      </w:pPr>
      <w:r>
        <w:t>daarna 2 consolidatiekuren VRD</w:t>
      </w:r>
    </w:p>
    <w:p>
      <w:pPr>
        <w:pStyle w:val="ListBullet"/>
      </w:pPr>
      <w:r>
        <w:t xml:space="preserve">gevolgd door </w:t>
      </w:r>
      <w:r>
        <w:rPr>
          <w:b/>
        </w:rPr>
        <w:t>lenalidomide onderhoud</w:t>
      </w:r>
    </w:p>
    <w:p>
      <w:pPr>
        <w:pStyle w:val="Heading2"/>
      </w:pPr>
      <w:r>
        <w:t>Tijdens de behandeling ontstonden complicaties:</w:t>
      </w:r>
    </w:p>
    <w:p>
      <w:pPr>
        <w:pStyle w:val="ListBullet"/>
      </w:pPr>
      <w:r>
        <w:t>meerdere luchtweginfecties/pneumonieën door secundaire hypogammaglobulinemie</w:t>
      </w:r>
    </w:p>
    <w:p>
      <w:pPr>
        <w:pStyle w:val="ListBullet"/>
      </w:pPr>
      <w:r>
        <w:t>een matig obstructieve longfunctie door late-onset astma</w:t>
      </w:r>
    </w:p>
    <w:p>
      <w:pPr>
        <w:pStyle w:val="ListBullet"/>
      </w:pPr>
      <w:r>
        <w:t>polyneuropathie graad 1-2 van knieën tot voeten, met pijn</w:t>
      </w:r>
    </w:p>
    <w:p>
      <w:r>
        <w:t xml:space="preserve">Twee jaar later stijgt het M-proteïne opnieuw en ontstaat weer anemie. Dan moet in een MDO worden besloten welke </w:t>
      </w:r>
      <w:r>
        <w:rPr>
          <w:b/>
        </w:rPr>
        <w:t>2e-lijns behandeling</w:t>
      </w:r>
      <w:r>
        <w:t xml:space="preserve"> gestart wordt.</w:t>
      </w:r>
    </w:p>
    <w:p>
      <w:pPr>
        <w:pStyle w:val="Heading2"/>
      </w:pPr>
      <w:r>
        <w:t>Belangrijke klachten en bevindingen</w:t>
      </w:r>
    </w:p>
    <w:p>
      <w:r>
        <w:t>Bij multipel myeloom passen verschillende klachten en afwijkingen. In deze casus zijn vooral belangrijk:</w:t>
      </w:r>
    </w:p>
    <w:p>
      <w:pPr>
        <w:pStyle w:val="ListBullet"/>
      </w:pPr>
      <w:r>
        <w:rPr>
          <w:b/>
        </w:rPr>
        <w:t>anemie</w:t>
      </w:r>
    </w:p>
    <w:p>
      <w:pPr>
        <w:pStyle w:val="ListBullet"/>
      </w:pPr>
      <w:r>
        <w:rPr>
          <w:b/>
        </w:rPr>
        <w:t>botpijn en lytische haarden</w:t>
      </w:r>
    </w:p>
    <w:p>
      <w:pPr>
        <w:pStyle w:val="ListBullet"/>
      </w:pPr>
      <w:r>
        <w:rPr>
          <w:b/>
        </w:rPr>
        <w:t>nierfunctiestoornis</w:t>
      </w:r>
    </w:p>
    <w:p>
      <w:pPr>
        <w:pStyle w:val="ListBullet"/>
      </w:pPr>
      <w:r>
        <w:rPr>
          <w:b/>
        </w:rPr>
        <w:t>infecties</w:t>
      </w:r>
    </w:p>
    <w:p>
      <w:pPr>
        <w:pStyle w:val="ListBullet"/>
      </w:pPr>
      <w:r>
        <w:rPr>
          <w:b/>
        </w:rPr>
        <w:t>neuropathie</w:t>
      </w:r>
    </w:p>
    <w:p>
      <w:pPr>
        <w:pStyle w:val="ListBullet"/>
      </w:pPr>
      <w:r>
        <w:t xml:space="preserve">stijgend </w:t>
      </w:r>
      <w:r>
        <w:rPr>
          <w:b/>
        </w:rPr>
        <w:t>M-proteïne</w:t>
      </w:r>
      <w:r>
        <w:t xml:space="preserve"> bij follow-up</w:t>
      </w:r>
    </w:p>
    <w:p>
      <w:pPr>
        <w:pStyle w:val="Heading3"/>
      </w:pPr>
      <w:r>
        <w:t>Tabel 1. Uitleg van de belangrijkste laboratoriumuitslagen</w:t>
      </w:r>
    </w:p>
    <w:tbl>
      <w:tblPr>
        <w:tblStyle w:val="TableGrid"/>
        <w:tblW w:type="auto" w:w="0"/>
        <w:tblLook w:firstColumn="1" w:firstRow="1" w:lastColumn="0" w:lastRow="0" w:noHBand="0" w:noVBand="1" w:val="04A0"/>
      </w:tblPr>
      <w:tblGrid>
        <w:gridCol w:w="2880"/>
        <w:gridCol w:w="2880"/>
        <w:gridCol w:w="2880"/>
      </w:tblGrid>
      <w:tr>
        <w:tc>
          <w:tcPr>
            <w:tcW w:type="dxa" w:w="2880"/>
          </w:tcPr>
          <w:p>
            <w:r>
              <w:t>Bepaling</w:t>
            </w:r>
          </w:p>
        </w:tc>
        <w:tc>
          <w:tcPr>
            <w:tcW w:type="dxa" w:w="2880"/>
          </w:tcPr>
          <w:p>
            <w:r>
              <w:t>Uitslag</w:t>
            </w:r>
          </w:p>
        </w:tc>
        <w:tc>
          <w:tcPr>
            <w:tcW w:type="dxa" w:w="2880"/>
          </w:tcPr>
          <w:p>
            <w:r>
              <w:t>Betekenis</w:t>
            </w:r>
          </w:p>
        </w:tc>
      </w:tr>
      <w:tr>
        <w:tc>
          <w:tcPr>
            <w:tcW w:type="dxa" w:w="2880"/>
          </w:tcPr>
          <w:p>
            <w:r>
              <w:t>Hemoglobine</w:t>
            </w:r>
          </w:p>
        </w:tc>
        <w:tc>
          <w:tcPr>
            <w:tcW w:type="dxa" w:w="2880"/>
          </w:tcPr>
          <w:p>
            <w:r>
              <w:t>5,5 mmol/L</w:t>
            </w:r>
          </w:p>
        </w:tc>
        <w:tc>
          <w:tcPr>
            <w:tcW w:type="dxa" w:w="2880"/>
          </w:tcPr>
          <w:p>
            <w:r>
              <w:t>Laag, dus anemie</w:t>
            </w:r>
          </w:p>
        </w:tc>
      </w:tr>
      <w:tr>
        <w:tc>
          <w:tcPr>
            <w:tcW w:type="dxa" w:w="2880"/>
          </w:tcPr>
          <w:p>
            <w:r>
              <w:t>MCV</w:t>
            </w:r>
          </w:p>
        </w:tc>
        <w:tc>
          <w:tcPr>
            <w:tcW w:type="dxa" w:w="2880"/>
          </w:tcPr>
          <w:p>
            <w:r>
              <w:t>85 fL</w:t>
            </w:r>
          </w:p>
        </w:tc>
        <w:tc>
          <w:tcPr>
            <w:tcW w:type="dxa" w:w="2880"/>
          </w:tcPr>
          <w:p>
            <w:r>
              <w:t>Normaal, dus normocytaire anemie</w:t>
            </w:r>
          </w:p>
        </w:tc>
      </w:tr>
      <w:tr>
        <w:tc>
          <w:tcPr>
            <w:tcW w:type="dxa" w:w="2880"/>
          </w:tcPr>
          <w:p>
            <w:r>
              <w:t>Reticulocyten</w:t>
            </w:r>
          </w:p>
        </w:tc>
        <w:tc>
          <w:tcPr>
            <w:tcW w:type="dxa" w:w="2880"/>
          </w:tcPr>
          <w:p>
            <w:r>
              <w:t>32 x10^9/L</w:t>
            </w:r>
          </w:p>
        </w:tc>
        <w:tc>
          <w:tcPr>
            <w:tcW w:type="dxa" w:w="2880"/>
          </w:tcPr>
          <w:p>
            <w:r>
              <w:t>Laag-normaal; bij anemie zou je meer aanmaak verwachten</w:t>
            </w:r>
          </w:p>
        </w:tc>
      </w:tr>
      <w:tr>
        <w:tc>
          <w:tcPr>
            <w:tcW w:type="dxa" w:w="2880"/>
          </w:tcPr>
          <w:p>
            <w:r>
              <w:t>Leukocyten</w:t>
            </w:r>
          </w:p>
        </w:tc>
        <w:tc>
          <w:tcPr>
            <w:tcW w:type="dxa" w:w="2880"/>
          </w:tcPr>
          <w:p>
            <w:r>
              <w:t>5,3 x10^9/L</w:t>
            </w:r>
          </w:p>
        </w:tc>
        <w:tc>
          <w:tcPr>
            <w:tcW w:type="dxa" w:w="2880"/>
          </w:tcPr>
          <w:p>
            <w:r>
              <w:t>Normaal</w:t>
            </w:r>
          </w:p>
        </w:tc>
      </w:tr>
      <w:tr>
        <w:tc>
          <w:tcPr>
            <w:tcW w:type="dxa" w:w="2880"/>
          </w:tcPr>
          <w:p>
            <w:r>
              <w:t>Trombocyten</w:t>
            </w:r>
          </w:p>
        </w:tc>
        <w:tc>
          <w:tcPr>
            <w:tcW w:type="dxa" w:w="2880"/>
          </w:tcPr>
          <w:p>
            <w:r>
              <w:t>180 x10^9/L</w:t>
            </w:r>
          </w:p>
        </w:tc>
        <w:tc>
          <w:tcPr>
            <w:tcW w:type="dxa" w:w="2880"/>
          </w:tcPr>
          <w:p>
            <w:r>
              <w:t>Normaal</w:t>
            </w:r>
          </w:p>
        </w:tc>
      </w:tr>
      <w:tr>
        <w:tc>
          <w:tcPr>
            <w:tcW w:type="dxa" w:w="2880"/>
          </w:tcPr>
          <w:p>
            <w:r>
              <w:t>Creatinine</w:t>
            </w:r>
          </w:p>
        </w:tc>
        <w:tc>
          <w:tcPr>
            <w:tcW w:type="dxa" w:w="2880"/>
          </w:tcPr>
          <w:p>
            <w:r>
              <w:t>145 µmol/L</w:t>
            </w:r>
          </w:p>
        </w:tc>
        <w:tc>
          <w:tcPr>
            <w:tcW w:type="dxa" w:w="2880"/>
          </w:tcPr>
          <w:p>
            <w:r>
              <w:t>Verhoogd, dus verminderde nierfunctie</w:t>
            </w:r>
          </w:p>
        </w:tc>
      </w:tr>
      <w:tr>
        <w:tc>
          <w:tcPr>
            <w:tcW w:type="dxa" w:w="2880"/>
          </w:tcPr>
          <w:p>
            <w:r>
              <w:t>Calcium</w:t>
            </w:r>
          </w:p>
        </w:tc>
        <w:tc>
          <w:tcPr>
            <w:tcW w:type="dxa" w:w="2880"/>
          </w:tcPr>
          <w:p>
            <w:r>
              <w:t>2,40 mmol/L</w:t>
            </w:r>
          </w:p>
        </w:tc>
        <w:tc>
          <w:tcPr>
            <w:tcW w:type="dxa" w:w="2880"/>
          </w:tcPr>
          <w:p>
            <w:r>
              <w:t>Normaal</w:t>
            </w:r>
          </w:p>
        </w:tc>
      </w:tr>
      <w:tr>
        <w:tc>
          <w:tcPr>
            <w:tcW w:type="dxa" w:w="2880"/>
          </w:tcPr>
          <w:p>
            <w:r>
              <w:t>IgG</w:t>
            </w:r>
          </w:p>
        </w:tc>
        <w:tc>
          <w:tcPr>
            <w:tcW w:type="dxa" w:w="2880"/>
          </w:tcPr>
          <w:p>
            <w:r>
              <w:t>30 g/L</w:t>
            </w:r>
          </w:p>
        </w:tc>
        <w:tc>
          <w:tcPr>
            <w:tcW w:type="dxa" w:w="2880"/>
          </w:tcPr>
          <w:p>
            <w:r>
              <w:t>Verhoogd</w:t>
            </w:r>
          </w:p>
        </w:tc>
      </w:tr>
      <w:tr>
        <w:tc>
          <w:tcPr>
            <w:tcW w:type="dxa" w:w="2880"/>
          </w:tcPr>
          <w:p>
            <w:r>
              <w:t>M-proteïne IgG-kappa</w:t>
            </w:r>
          </w:p>
        </w:tc>
        <w:tc>
          <w:tcPr>
            <w:tcW w:type="dxa" w:w="2880"/>
          </w:tcPr>
          <w:p>
            <w:r>
              <w:t>26 g/L</w:t>
            </w:r>
          </w:p>
        </w:tc>
        <w:tc>
          <w:tcPr>
            <w:tcW w:type="dxa" w:w="2880"/>
          </w:tcPr>
          <w:p>
            <w:r>
              <w:t>Monoklonaal eiwit passend bij plasmacelziekte</w:t>
            </w:r>
          </w:p>
        </w:tc>
      </w:tr>
    </w:tbl>
    <w:p>
      <w:r>
        <w:rPr>
          <w:b/>
        </w:rPr>
        <w:t>Vraagje:</w:t>
      </w:r>
      <w:r>
        <w:t xml:space="preserve"> waarom is een normale reticulocytenwaarde toch verdacht bij anemie?</w:t>
      </w:r>
    </w:p>
    <w:p>
      <w:r>
        <w:rPr>
          <w:b/>
        </w:rPr>
        <w:t>Mini-antwoord:</w:t>
      </w:r>
      <w:r>
        <w:t xml:space="preserve"> omdat het beenmerg bij anemie normaal extra rode bloedcellen zou moeten aanmaken. Een laag-normale reticulocytenwaarde past dus bij onvoldoende beenmergproductie.</w:t>
      </w:r>
    </w:p>
    <w:p>
      <w:pPr>
        <w:pStyle w:val="Heading2"/>
      </w:pPr>
      <w:r>
        <w:t>Klinisch redeneren</w:t>
      </w:r>
    </w:p>
    <w:p>
      <w:pPr>
        <w:pStyle w:val="Heading2"/>
      </w:pPr>
      <w:r>
        <w:t>De combinatie van:</w:t>
      </w:r>
    </w:p>
    <w:p>
      <w:pPr>
        <w:pStyle w:val="ListBullet"/>
      </w:pPr>
      <w:r>
        <w:rPr>
          <w:b/>
        </w:rPr>
        <w:t>normocytaire anemie</w:t>
      </w:r>
    </w:p>
    <w:p>
      <w:pPr>
        <w:pStyle w:val="ListBullet"/>
      </w:pPr>
      <w:r>
        <w:rPr>
          <w:b/>
        </w:rPr>
        <w:t>laag-normale reticulocyten</w:t>
      </w:r>
    </w:p>
    <w:p>
      <w:pPr>
        <w:pStyle w:val="ListBullet"/>
      </w:pPr>
      <w:r>
        <w:rPr>
          <w:b/>
        </w:rPr>
        <w:t>verhoogd creatinine</w:t>
      </w:r>
    </w:p>
    <w:p>
      <w:pPr>
        <w:pStyle w:val="ListBullet"/>
      </w:pPr>
      <w:r>
        <w:rPr>
          <w:b/>
        </w:rPr>
        <w:t>monoclonaal IgG-kappa M-proteïne</w:t>
      </w:r>
    </w:p>
    <w:p>
      <w:r>
        <w:t xml:space="preserve">maakt een </w:t>
      </w:r>
      <w:r>
        <w:rPr>
          <w:b/>
        </w:rPr>
        <w:t>multipel myeloom</w:t>
      </w:r>
      <w:r>
        <w:t xml:space="preserve"> waarschijnlijk. De anemie past bij een probleem in het beenmerg, waar de normale bloedaanmaak verdrongen kan worden door de kwaadaardige plasmacellen. De nierfunctiestoornis kan ook bij myeloom passen. Het M-proteïne is een belangrijke aanwijzing, maar een M-proteïne alleen betekent niet automatisch multipel myeloom; het kan ook voorkomen bij bijvoorbeeld </w:t>
      </w:r>
      <w:r>
        <w:rPr>
          <w:b/>
        </w:rPr>
        <w:t>MGUS</w:t>
      </w:r>
      <w:r>
        <w:t>.</w:t>
      </w:r>
    </w:p>
    <w:p>
      <w:pPr>
        <w:pStyle w:val="Heading3"/>
      </w:pPr>
      <w:r>
        <w:t>Wat is het vervolgonderzoek?</w:t>
      </w:r>
    </w:p>
    <w:p>
      <w:pPr>
        <w:pStyle w:val="Heading2"/>
      </w:pPr>
      <w:r>
        <w:t>Bij verdenking op multipel myeloom is vervolgonderzoek nodig met:</w:t>
      </w:r>
    </w:p>
    <w:p>
      <w:pPr>
        <w:pStyle w:val="ListBullet"/>
      </w:pPr>
      <w:r>
        <w:rPr>
          <w:b/>
        </w:rPr>
        <w:t>beenmergpunctie</w:t>
      </w:r>
      <w:r>
        <w:t xml:space="preserve"> om de diagnose te bevestigen</w:t>
      </w:r>
    </w:p>
    <w:p>
      <w:pPr>
        <w:pStyle w:val="ListBullet"/>
      </w:pPr>
      <w:r>
        <w:rPr>
          <w:b/>
        </w:rPr>
        <w:t>CT-skelet</w:t>
      </w:r>
      <w:r>
        <w:t xml:space="preserve"> vanwege botbetrokkenheid</w:t>
      </w:r>
    </w:p>
    <w:p>
      <w:pPr>
        <w:pStyle w:val="ListBullet"/>
      </w:pPr>
      <w:r>
        <w:t xml:space="preserve">soms </w:t>
      </w:r>
      <w:r>
        <w:rPr>
          <w:b/>
        </w:rPr>
        <w:t>MRI van de wervelkolom</w:t>
      </w:r>
    </w:p>
    <w:p>
      <w:r>
        <w:rPr>
          <w:b/>
        </w:rPr>
        <w:t>Vraagje:</w:t>
      </w:r>
      <w:r>
        <w:t xml:space="preserve"> waarom is botbeeldvorming belangrijk bij multipel myeloom?</w:t>
      </w:r>
    </w:p>
    <w:p>
      <w:r>
        <w:rPr>
          <w:b/>
        </w:rPr>
        <w:t>Mini-antwoord:</w:t>
      </w:r>
      <w:r>
        <w:t xml:space="preserve"> omdat myeloom vaak botafbraak en lytische haarden geeft, wat fracturen en pijn kan veroorzaken.</w:t>
      </w:r>
    </w:p>
    <w:p>
      <w:pPr>
        <w:pStyle w:val="Heading2"/>
      </w:pPr>
      <w:r>
        <w:t>Diagnose en responsbeoordeling</w:t>
      </w:r>
    </w:p>
    <w:p>
      <w:r>
        <w:t xml:space="preserve">Na de eerste behandeling is het M-proteïne gedaald van </w:t>
      </w:r>
      <w:r>
        <w:rPr>
          <w:b/>
        </w:rPr>
        <w:t>26 g/L naar 2 g/L</w:t>
      </w:r>
      <w:r>
        <w:t xml:space="preserve">. Dat is een daling van meer dan 90%. Dit past bij een </w:t>
      </w:r>
      <w:r>
        <w:rPr>
          <w:b/>
        </w:rPr>
        <w:t>Very Good Partial Response (VGPR)</w:t>
      </w:r>
      <w:r>
        <w:t>.</w:t>
      </w:r>
    </w:p>
    <w:p>
      <w:pPr>
        <w:pStyle w:val="Heading3"/>
      </w:pPr>
      <w:r>
        <w:t>Tabel 2. Respons volgens de IMWG-criteria</w:t>
      </w:r>
    </w:p>
    <w:tbl>
      <w:tblPr>
        <w:tblStyle w:val="TableGrid"/>
        <w:tblW w:type="auto" w:w="0"/>
        <w:tblLook w:firstColumn="1" w:firstRow="1" w:lastColumn="0" w:lastRow="0" w:noHBand="0" w:noVBand="1" w:val="04A0"/>
      </w:tblPr>
      <w:tblGrid>
        <w:gridCol w:w="4320"/>
        <w:gridCol w:w="4320"/>
      </w:tblGrid>
      <w:tr>
        <w:tc>
          <w:tcPr>
            <w:tcW w:type="dxa" w:w="4320"/>
          </w:tcPr>
          <w:p>
            <w:r>
              <w:t>Respons</w:t>
            </w:r>
          </w:p>
        </w:tc>
        <w:tc>
          <w:tcPr>
            <w:tcW w:type="dxa" w:w="4320"/>
          </w:tcPr>
          <w:p>
            <w:r>
              <w:t>Kenmerk</w:t>
            </w:r>
          </w:p>
        </w:tc>
      </w:tr>
      <w:tr>
        <w:tc>
          <w:tcPr>
            <w:tcW w:type="dxa" w:w="4320"/>
          </w:tcPr>
          <w:p>
            <w:r>
              <w:t>VGPR</w:t>
            </w:r>
          </w:p>
        </w:tc>
        <w:tc>
          <w:tcPr>
            <w:tcW w:type="dxa" w:w="4320"/>
          </w:tcPr>
          <w:p>
            <w:r>
              <w:t>≥ 90% reductie van de oorspronkelijke serum M-component; negatieve immunofixatie is niet nodig</w:t>
            </w:r>
          </w:p>
        </w:tc>
      </w:tr>
    </w:tbl>
    <w:p>
      <w:r>
        <w:t>De patiënt heeft dus goed gereageerd op de eerste behandeling, maar is later toch weer progressief geworden tijdens onderhoud met lenalidomide.</w:t>
      </w:r>
    </w:p>
    <w:p>
      <w:pPr>
        <w:pStyle w:val="Heading2"/>
      </w:pPr>
      <w:r>
        <w:t>Lenalidomide-refractair: wat betekent dat?</w:t>
      </w:r>
    </w:p>
    <w:p>
      <w:r>
        <w:t xml:space="preserve">Als de ziekte terugkomt terwijl iemand </w:t>
      </w:r>
      <w:r>
        <w:rPr>
          <w:b/>
        </w:rPr>
        <w:t>lenalidomide onderhoud</w:t>
      </w:r>
      <w:r>
        <w:t xml:space="preserve"> gebruikt, dan is de patiënt </w:t>
      </w:r>
      <w:r>
        <w:rPr>
          <w:b/>
        </w:rPr>
        <w:t>lenalidomide-refractair</w:t>
      </w:r>
      <w:r>
        <w:t>. Dat betekent dat lenalidomide niet meer voldoende werkt en dat je een ander schema moet kiezen.</w:t>
      </w:r>
    </w:p>
    <w:p>
      <w:r>
        <w:t xml:space="preserve">Een herhaling van hoge dosis melfalan met autologe transplantatie is hier </w:t>
      </w:r>
      <w:r>
        <w:rPr>
          <w:b/>
        </w:rPr>
        <w:t>geen goede optie</w:t>
      </w:r>
      <w:r>
        <w:t>, omdat de remissieduur te kort was.</w:t>
      </w:r>
    </w:p>
    <w:p>
      <w:pPr>
        <w:pStyle w:val="Heading2"/>
      </w:pPr>
      <w:r>
        <w:t>Differentiaal en keuze voor 2e lijns behandeling</w:t>
      </w:r>
    </w:p>
    <w:p>
      <w:r>
        <w:t>Bij terugkerend multipel myeloom zijn er verschillende behandelopties. De keuze hangt af van eerdere behandeling en van refractariteit.</w:t>
      </w:r>
    </w:p>
    <w:p>
      <w:pPr>
        <w:pStyle w:val="Heading3"/>
      </w:pPr>
      <w:r>
        <w:t>Belangrijke behandelopties</w:t>
      </w:r>
    </w:p>
    <w:p>
      <w:r>
        <w:t>#### 1. Anti-CD38 + carfilzomib + dexamethason</w:t>
      </w:r>
    </w:p>
    <w:p>
      <w:pPr>
        <w:pStyle w:val="ListBullet"/>
      </w:pPr>
      <w:r>
        <w:rPr>
          <w:b/>
        </w:rPr>
        <w:t>daratumumab-carfilzomib-dexamethason</w:t>
      </w:r>
    </w:p>
    <w:p>
      <w:pPr>
        <w:pStyle w:val="ListBullet"/>
      </w:pPr>
      <w:r>
        <w:rPr>
          <w:b/>
        </w:rPr>
        <w:t>isatuximab-carfilzomib-dexamethason</w:t>
      </w:r>
    </w:p>
    <w:p>
      <w:r>
        <w:t xml:space="preserve">Dit zijn sterke opties als de patiënt </w:t>
      </w:r>
      <w:r>
        <w:rPr>
          <w:b/>
        </w:rPr>
        <w:t>niet refractair</w:t>
      </w:r>
      <w:r>
        <w:t xml:space="preserve"> is voor anti-CD38-therapie. Ze geven langere progressievrije overleving dan carfilzomib-dexamethason alleen.</w:t>
      </w:r>
    </w:p>
    <w:p>
      <w:r>
        <w:t>#### 2. Daratumumab + bortezomib + dexamethason</w:t>
      </w:r>
    </w:p>
    <w:p>
      <w:r>
        <w:t xml:space="preserve">Dit kan ook werken, maar bortezomib is vaak al eerder gegeven en geeft relatief vaak </w:t>
      </w:r>
      <w:r>
        <w:rPr>
          <w:b/>
        </w:rPr>
        <w:t>polyneuropathie</w:t>
      </w:r>
      <w:r>
        <w:t>. In deze casus is dat dus minder aantrekkelijk.</w:t>
      </w:r>
    </w:p>
    <w:p>
      <w:r>
        <w:t>#### 3. Pomalidomide-gebaseerde schema’s</w:t>
      </w:r>
    </w:p>
    <w:p>
      <w:pPr>
        <w:pStyle w:val="Heading2"/>
      </w:pPr>
      <w:r>
        <w:t>Deze worden vaker vanaf de **3e lijn** gebruikt. Voorbeelden zijn:</w:t>
      </w:r>
    </w:p>
    <w:p>
      <w:pPr>
        <w:pStyle w:val="ListBullet"/>
      </w:pPr>
      <w:r>
        <w:t>pomalidomide-bortezomib-dexamethason</w:t>
      </w:r>
    </w:p>
    <w:p>
      <w:pPr>
        <w:pStyle w:val="ListBullet"/>
      </w:pPr>
      <w:r>
        <w:t>pomalidomide-cyclofosfamide-dexamethason</w:t>
      </w:r>
    </w:p>
    <w:p>
      <w:pPr>
        <w:pStyle w:val="ListBullet"/>
      </w:pPr>
      <w:r>
        <w:t>isatuximab-pomalidomide-dexamethason</w:t>
      </w:r>
    </w:p>
    <w:p>
      <w:pPr>
        <w:pStyle w:val="ListBullet"/>
      </w:pPr>
      <w:r>
        <w:t>daratumumab-pomalidomide-dexamethason</w:t>
      </w:r>
    </w:p>
    <w:p>
      <w:pPr>
        <w:pStyle w:val="Heading3"/>
      </w:pPr>
      <w:r>
        <w:t>Tabel 3. Keuze bij recidief myeloom</w:t>
      </w:r>
    </w:p>
    <w:tbl>
      <w:tblPr>
        <w:tblStyle w:val="TableGrid"/>
        <w:tblW w:type="auto" w:w="0"/>
        <w:tblLook w:firstColumn="1" w:firstRow="1" w:lastColumn="0" w:lastRow="0" w:noHBand="0" w:noVBand="1" w:val="04A0"/>
      </w:tblPr>
      <w:tblGrid>
        <w:gridCol w:w="4320"/>
        <w:gridCol w:w="4320"/>
      </w:tblGrid>
      <w:tr>
        <w:tc>
          <w:tcPr>
            <w:tcW w:type="dxa" w:w="4320"/>
          </w:tcPr>
          <w:p>
            <w:r>
              <w:t>Situatie</w:t>
            </w:r>
          </w:p>
        </w:tc>
        <w:tc>
          <w:tcPr>
            <w:tcW w:type="dxa" w:w="4320"/>
          </w:tcPr>
          <w:p>
            <w:r>
              <w:t>Voorkeursoptie</w:t>
            </w:r>
          </w:p>
        </w:tc>
      </w:tr>
      <w:tr>
        <w:tc>
          <w:tcPr>
            <w:tcW w:type="dxa" w:w="4320"/>
          </w:tcPr>
          <w:p>
            <w:r>
              <w:t>Niet refractair voor anti-CD38</w:t>
            </w:r>
          </w:p>
        </w:tc>
        <w:tc>
          <w:tcPr>
            <w:tcW w:type="dxa" w:w="4320"/>
          </w:tcPr>
          <w:p>
            <w:r>
              <w:t>isatuximab-carfilzomib-dexamethason of daratumumab-carfilzomib-dexamethason</w:t>
            </w:r>
          </w:p>
        </w:tc>
      </w:tr>
      <w:tr>
        <w:tc>
          <w:tcPr>
            <w:tcW w:type="dxa" w:w="4320"/>
          </w:tcPr>
          <w:p>
            <w:r>
              <w:t>Anti-CD38 refractair of intolerant</w:t>
            </w:r>
          </w:p>
        </w:tc>
        <w:tc>
          <w:tcPr>
            <w:tcW w:type="dxa" w:w="4320"/>
          </w:tcPr>
          <w:p>
            <w:r>
              <w:t>pomalidomide-bortezomib-dexamethason of carfilzomib-dexamethason</w:t>
            </w:r>
          </w:p>
        </w:tc>
      </w:tr>
      <w:tr>
        <w:tc>
          <w:tcPr>
            <w:tcW w:type="dxa" w:w="4320"/>
          </w:tcPr>
          <w:p>
            <w:r>
              <w:t>Verder gevorderde lijnen</w:t>
            </w:r>
          </w:p>
        </w:tc>
        <w:tc>
          <w:tcPr>
            <w:tcW w:type="dxa" w:w="4320"/>
          </w:tcPr>
          <w:p>
            <w:r>
              <w:t>combinaties met pomalidomide en cyclofosfamide, of andere 3e-lijns schema’s</w:t>
            </w:r>
          </w:p>
        </w:tc>
      </w:tr>
    </w:tbl>
    <w:p>
      <w:pPr>
        <w:pStyle w:val="Heading2"/>
      </w:pPr>
      <w:r>
        <w:t>Shared decision making en informed consent</w:t>
      </w:r>
    </w:p>
    <w:p>
      <w:r>
        <w:t>In de latere fase van de ziekte wordt het gesprek over behandeling heel belangrijk. In de casus is de patiënte inmiddels 70 jaar en komt zij door haar longfunctie en performance status niet in aanmerking voor cellulaire therapieën zoals CAR-T.</w:t>
      </w:r>
    </w:p>
    <w:p>
      <w:pPr>
        <w:pStyle w:val="Heading2"/>
      </w:pPr>
      <w:r>
        <w:t>De situatie is dan als volgt:</w:t>
      </w:r>
    </w:p>
    <w:p>
      <w:pPr>
        <w:pStyle w:val="ListBullet"/>
      </w:pPr>
      <w:r>
        <w:t xml:space="preserve">de ziekte kan nog behandeld worden met </w:t>
      </w:r>
      <w:r>
        <w:rPr>
          <w:b/>
        </w:rPr>
        <w:t>pomalidomide-dexamethason</w:t>
      </w:r>
    </w:p>
    <w:p>
      <w:pPr>
        <w:pStyle w:val="ListBullet"/>
      </w:pPr>
      <w:r>
        <w:t>maar de kans op respons is beperkt</w:t>
      </w:r>
    </w:p>
    <w:p>
      <w:pPr>
        <w:pStyle w:val="ListBullet"/>
      </w:pPr>
      <w:r>
        <w:t>er zijn duidelijke bijwerkingen</w:t>
      </w:r>
    </w:p>
    <w:p>
      <w:pPr>
        <w:pStyle w:val="ListBullet"/>
      </w:pPr>
      <w:r>
        <w:t>er zijn regelmatige ziekenhuiscontroles nodig</w:t>
      </w:r>
    </w:p>
    <w:p>
      <w:r>
        <w:t xml:space="preserve">De kans op respons is ongeveer </w:t>
      </w:r>
      <w:r>
        <w:rPr>
          <w:b/>
        </w:rPr>
        <w:t>35%</w:t>
      </w:r>
      <w:r>
        <w:t xml:space="preserve">, met een mediane progressievrije overleving van </w:t>
      </w:r>
      <w:r>
        <w:rPr>
          <w:b/>
        </w:rPr>
        <w:t>4-5 maanden</w:t>
      </w:r>
      <w:r>
        <w:t>. Mogelijke bijwerkingen zijn onder andere:</w:t>
      </w:r>
    </w:p>
    <w:p>
      <w:pPr>
        <w:pStyle w:val="ListBullet"/>
      </w:pPr>
      <w:r>
        <w:t>polyneuropathie</w:t>
      </w:r>
    </w:p>
    <w:p>
      <w:pPr>
        <w:pStyle w:val="ListBullet"/>
      </w:pPr>
      <w:r>
        <w:t>infecties</w:t>
      </w:r>
    </w:p>
    <w:p>
      <w:pPr>
        <w:pStyle w:val="ListBullet"/>
      </w:pPr>
      <w:r>
        <w:t>anemie</w:t>
      </w:r>
    </w:p>
    <w:p>
      <w:pPr>
        <w:pStyle w:val="ListBullet"/>
      </w:pPr>
      <w:r>
        <w:t>trombopenie</w:t>
      </w:r>
    </w:p>
    <w:p>
      <w:pPr>
        <w:pStyle w:val="ListBullet"/>
      </w:pPr>
      <w:r>
        <w:t>neutropenie</w:t>
      </w:r>
    </w:p>
    <w:p>
      <w:pPr>
        <w:pStyle w:val="ListBullet"/>
      </w:pPr>
      <w:r>
        <w:t>moeheid</w:t>
      </w:r>
    </w:p>
    <w:p>
      <w:r>
        <w:t xml:space="preserve">Het alternatief is stoppen met myeloomgerichte behandeling en kiezen voor </w:t>
      </w:r>
      <w:r>
        <w:rPr>
          <w:b/>
        </w:rPr>
        <w:t>palliatief-supportieve zorg</w:t>
      </w:r>
      <w:r>
        <w:t>, gericht op:</w:t>
      </w:r>
    </w:p>
    <w:p>
      <w:pPr>
        <w:pStyle w:val="ListBullet"/>
      </w:pPr>
      <w:r>
        <w:t>pijnstilling</w:t>
      </w:r>
    </w:p>
    <w:p>
      <w:pPr>
        <w:pStyle w:val="ListBullet"/>
      </w:pPr>
      <w:r>
        <w:t>transfusies</w:t>
      </w:r>
    </w:p>
    <w:p>
      <w:pPr>
        <w:pStyle w:val="ListBullet"/>
      </w:pPr>
      <w:r>
        <w:t>antibiotica bij infecties</w:t>
      </w:r>
    </w:p>
    <w:p>
      <w:r>
        <w:t>Dat betekent dat het gesprek niet alleen over “wel of niet behandelen” gaat, maar vooral over wat voor de patiënt nog passend is: meer ziektebestrijding met kans op bijwerkingen, of vooral comfort en symptoombehandeling.</w:t>
      </w:r>
    </w:p>
    <w:p>
      <w:pPr>
        <w:pStyle w:val="Heading3"/>
      </w:pPr>
      <w:r>
        <w:t>De verschillende perspectieven in het gesprek</w:t>
      </w:r>
    </w:p>
    <w:p>
      <w:pPr>
        <w:pStyle w:val="ListBullet"/>
      </w:pPr>
      <w:r>
        <w:rPr>
          <w:b/>
        </w:rPr>
        <w:t>Patiënt:</w:t>
      </w:r>
      <w:r>
        <w:t xml:space="preserve"> bang voor nieuwe fracturen als de ziekte onbehandeld blijft, maar ziet op tegen nieuwe medicatie, bijwerkingen en ziekenhuisbezoeken.</w:t>
      </w:r>
    </w:p>
    <w:p>
      <w:pPr>
        <w:pStyle w:val="ListBullet"/>
      </w:pPr>
      <w:r>
        <w:rPr>
          <w:b/>
        </w:rPr>
        <w:t>Partner:</w:t>
      </w:r>
      <w:r>
        <w:t xml:space="preserve"> vreest dat de behandeling haar functioneren verder zal verminderen en dat zij niet meer zelfstandig ADL kan doen.</w:t>
      </w:r>
    </w:p>
    <w:p>
      <w:pPr>
        <w:pStyle w:val="ListBullet"/>
      </w:pPr>
      <w:r>
        <w:rPr>
          <w:b/>
        </w:rPr>
        <w:t>Zoon:</w:t>
      </w:r>
      <w:r>
        <w:t xml:space="preserve"> wil zijn moeder niet verliezen.</w:t>
      </w:r>
    </w:p>
    <w:p>
      <w:pPr>
        <w:pStyle w:val="ListBullet"/>
      </w:pPr>
      <w:r>
        <w:rPr>
          <w:b/>
        </w:rPr>
        <w:t>Hematoloog:</w:t>
      </w:r>
      <w:r>
        <w:t xml:space="preserve"> moet alle informatie helder uitleggen en samen met patiënt en familie tot een besluit komen.</w:t>
      </w:r>
    </w:p>
    <w:p>
      <w:r>
        <w:t xml:space="preserve">De kern is dat het duidelijk moet zijn dat er </w:t>
      </w:r>
      <w:r>
        <w:rPr>
          <w:b/>
        </w:rPr>
        <w:t>wel degelijk een keuze</w:t>
      </w:r>
      <w:r>
        <w:t xml:space="preserve"> is. Die keuze moet begrijpelijk worden uitgelegd, inclusief voordelen, nadelen en wat het alternatief is.</w:t>
      </w:r>
    </w:p>
    <w:p>
      <w:pPr>
        <w:pStyle w:val="Heading2"/>
      </w:pPr>
      <w:r>
        <w:t>Belangrijke ziektebeelden</w:t>
      </w:r>
    </w:p>
    <w:p>
      <w:pPr>
        <w:pStyle w:val="Heading3"/>
      </w:pPr>
      <w:r>
        <w:t>Multipel myeloom</w:t>
      </w:r>
    </w:p>
    <w:p>
      <w:pPr>
        <w:pStyle w:val="Heading2"/>
      </w:pPr>
      <w:r>
        <w:t>Een kwaadaardige aandoening van plasmacellen in het beenmerg. Kenmerkend zijn:</w:t>
      </w:r>
    </w:p>
    <w:p>
      <w:pPr>
        <w:pStyle w:val="ListBullet"/>
      </w:pPr>
      <w:r>
        <w:t>M-proteïne</w:t>
      </w:r>
    </w:p>
    <w:p>
      <w:pPr>
        <w:pStyle w:val="ListBullet"/>
      </w:pPr>
      <w:r>
        <w:t>anemie</w:t>
      </w:r>
    </w:p>
    <w:p>
      <w:pPr>
        <w:pStyle w:val="ListBullet"/>
      </w:pPr>
      <w:r>
        <w:t>botafwijkingen</w:t>
      </w:r>
    </w:p>
    <w:p>
      <w:pPr>
        <w:pStyle w:val="ListBullet"/>
      </w:pPr>
      <w:r>
        <w:t>nierfunctiestoornis</w:t>
      </w:r>
    </w:p>
    <w:p>
      <w:pPr>
        <w:pStyle w:val="ListBullet"/>
      </w:pPr>
      <w:r>
        <w:t>infecties</w:t>
      </w:r>
    </w:p>
    <w:p>
      <w:pPr>
        <w:pStyle w:val="Heading3"/>
      </w:pPr>
      <w:r>
        <w:t>MGUS</w:t>
      </w:r>
    </w:p>
    <w:p>
      <w:r>
        <w:t xml:space="preserve">Een </w:t>
      </w:r>
      <w:r>
        <w:rPr>
          <w:b/>
        </w:rPr>
        <w:t>monoclonal gammopathy of unknown significance</w:t>
      </w:r>
      <w:r>
        <w:t>. Hierbij is er wel een monoklonaal eiwit, maar zonder de kenmerken van multipel myeloom.</w:t>
      </w:r>
    </w:p>
    <w:p>
      <w:pPr>
        <w:pStyle w:val="Heading3"/>
      </w:pPr>
      <w:r>
        <w:t>Lytische botafwijkingen</w:t>
      </w:r>
    </w:p>
    <w:p>
      <w:r>
        <w:t>Botafbraakplekken die kunnen leiden tot pijn en fracturen.</w:t>
      </w:r>
    </w:p>
    <w:p>
      <w:pPr>
        <w:pStyle w:val="Heading3"/>
      </w:pPr>
      <w:r>
        <w:t>Hypogammaglobulinemie</w:t>
      </w:r>
    </w:p>
    <w:p>
      <w:r>
        <w:t>Te weinig normale antistoffen, waardoor infecties makkelijker optreden.</w:t>
      </w:r>
    </w:p>
    <w:p>
      <w:pPr>
        <w:pStyle w:val="Heading2"/>
      </w:pPr>
      <w:r>
        <w:t>Belangrijke geneesmiddelen en werkingsmechanismen</w:t>
      </w:r>
    </w:p>
    <w:p>
      <w:pPr>
        <w:pStyle w:val="Heading3"/>
      </w:pPr>
      <w:r>
        <w:t>Tabel 4. Werkingsmechanismen in het kort</w:t>
      </w:r>
    </w:p>
    <w:tbl>
      <w:tblPr>
        <w:tblStyle w:val="TableGrid"/>
        <w:tblW w:type="auto" w:w="0"/>
        <w:tblLook w:firstColumn="1" w:firstRow="1" w:lastColumn="0" w:lastRow="0" w:noHBand="0" w:noVBand="1" w:val="04A0"/>
      </w:tblPr>
      <w:tblGrid>
        <w:gridCol w:w="2880"/>
        <w:gridCol w:w="2880"/>
        <w:gridCol w:w="2880"/>
      </w:tblGrid>
      <w:tr>
        <w:tc>
          <w:tcPr>
            <w:tcW w:type="dxa" w:w="2880"/>
          </w:tcPr>
          <w:p>
            <w:r>
              <w:t>Middel</w:t>
            </w:r>
          </w:p>
        </w:tc>
        <w:tc>
          <w:tcPr>
            <w:tcW w:type="dxa" w:w="2880"/>
          </w:tcPr>
          <w:p>
            <w:r>
              <w:t>Type</w:t>
            </w:r>
          </w:p>
        </w:tc>
        <w:tc>
          <w:tcPr>
            <w:tcW w:type="dxa" w:w="2880"/>
          </w:tcPr>
          <w:p>
            <w:r>
              <w:t>Werking</w:t>
            </w:r>
          </w:p>
        </w:tc>
      </w:tr>
      <w:tr>
        <w:tc>
          <w:tcPr>
            <w:tcW w:type="dxa" w:w="2880"/>
          </w:tcPr>
          <w:p>
            <w:r>
              <w:t>Daratumumab</w:t>
            </w:r>
          </w:p>
        </w:tc>
        <w:tc>
          <w:tcPr>
            <w:tcW w:type="dxa" w:w="2880"/>
          </w:tcPr>
          <w:p>
            <w:r>
              <w:t>monoklonaal antilichaam</w:t>
            </w:r>
          </w:p>
        </w:tc>
        <w:tc>
          <w:tcPr>
            <w:tcW w:type="dxa" w:w="2880"/>
          </w:tcPr>
          <w:p>
            <w:r>
              <w:t>Richt zich op CD38 op myelomacellen en helpt het immuunsysteem deze cellen aan te vallen</w:t>
            </w:r>
          </w:p>
        </w:tc>
      </w:tr>
      <w:tr>
        <w:tc>
          <w:tcPr>
            <w:tcW w:type="dxa" w:w="2880"/>
          </w:tcPr>
          <w:p>
            <w:r>
              <w:t>Isatuximab</w:t>
            </w:r>
          </w:p>
        </w:tc>
        <w:tc>
          <w:tcPr>
            <w:tcW w:type="dxa" w:w="2880"/>
          </w:tcPr>
          <w:p>
            <w:r>
              <w:t>monoklonaal antilichaam</w:t>
            </w:r>
          </w:p>
        </w:tc>
        <w:tc>
          <w:tcPr>
            <w:tcW w:type="dxa" w:w="2880"/>
          </w:tcPr>
          <w:p>
            <w:r>
              <w:t>Richt zich ook op CD38, maar op een iets andere plek dan daratumumab</w:t>
            </w:r>
          </w:p>
        </w:tc>
      </w:tr>
      <w:tr>
        <w:tc>
          <w:tcPr>
            <w:tcW w:type="dxa" w:w="2880"/>
          </w:tcPr>
          <w:p>
            <w:r>
              <w:t>Bortezomib</w:t>
            </w:r>
          </w:p>
        </w:tc>
        <w:tc>
          <w:tcPr>
            <w:tcW w:type="dxa" w:w="2880"/>
          </w:tcPr>
          <w:p>
            <w:r>
              <w:t>proteasoomremmer</w:t>
            </w:r>
          </w:p>
        </w:tc>
        <w:tc>
          <w:tcPr>
            <w:tcW w:type="dxa" w:w="2880"/>
          </w:tcPr>
          <w:p>
            <w:r>
              <w:t>Remt het 26S-proteasoom, waardoor eiwitten zich opstapelen en de tumorcel sterft</w:t>
            </w:r>
          </w:p>
        </w:tc>
      </w:tr>
      <w:tr>
        <w:tc>
          <w:tcPr>
            <w:tcW w:type="dxa" w:w="2880"/>
          </w:tcPr>
          <w:p>
            <w:r>
              <w:t>Carfilzomib</w:t>
            </w:r>
          </w:p>
        </w:tc>
        <w:tc>
          <w:tcPr>
            <w:tcW w:type="dxa" w:w="2880"/>
          </w:tcPr>
          <w:p>
            <w:r>
              <w:t>proteasoomremmer</w:t>
            </w:r>
          </w:p>
        </w:tc>
        <w:tc>
          <w:tcPr>
            <w:tcW w:type="dxa" w:w="2880"/>
          </w:tcPr>
          <w:p>
            <w:r>
              <w:t>Bindt irreversibel aan het proteasoom en remt zo de eiwitafbraak</w:t>
            </w:r>
          </w:p>
        </w:tc>
      </w:tr>
      <w:tr>
        <w:tc>
          <w:tcPr>
            <w:tcW w:type="dxa" w:w="2880"/>
          </w:tcPr>
          <w:p>
            <w:r>
              <w:t>Dexamethason</w:t>
            </w:r>
          </w:p>
        </w:tc>
        <w:tc>
          <w:tcPr>
            <w:tcW w:type="dxa" w:w="2880"/>
          </w:tcPr>
          <w:p>
            <w:r>
              <w:t>corticosteroïd</w:t>
            </w:r>
          </w:p>
        </w:tc>
        <w:tc>
          <w:tcPr>
            <w:tcW w:type="dxa" w:w="2880"/>
          </w:tcPr>
          <w:p>
            <w:r>
              <w:t>Geeft in hoge dosis apoptose van plasmacellen en is vaak onderdeel van combinaties</w:t>
            </w:r>
          </w:p>
        </w:tc>
      </w:tr>
      <w:tr>
        <w:tc>
          <w:tcPr>
            <w:tcW w:type="dxa" w:w="2880"/>
          </w:tcPr>
          <w:p>
            <w:r>
              <w:t>Pomalidomide</w:t>
            </w:r>
          </w:p>
        </w:tc>
        <w:tc>
          <w:tcPr>
            <w:tcW w:type="dxa" w:w="2880"/>
          </w:tcPr>
          <w:p>
            <w:r>
              <w:t>IMiD</w:t>
            </w:r>
          </w:p>
        </w:tc>
        <w:tc>
          <w:tcPr>
            <w:tcW w:type="dxa" w:w="2880"/>
          </w:tcPr>
          <w:p>
            <w:r>
              <w:t>Remt myeloomgroei, stimuleert het immuunsysteem en remt bloedvatvorming</w:t>
            </w:r>
          </w:p>
        </w:tc>
      </w:tr>
    </w:tbl>
    <w:p>
      <w:pPr>
        <w:pStyle w:val="Heading3"/>
      </w:pPr>
      <w:r>
        <w:t>Daratumumab en isatuximab</w:t>
      </w:r>
    </w:p>
    <w:p>
      <w:r>
        <w:t xml:space="preserve">Beide zijn </w:t>
      </w:r>
      <w:r>
        <w:rPr>
          <w:b/>
        </w:rPr>
        <w:t>anti-CD38-antistoffen</w:t>
      </w:r>
      <w:r>
        <w:t>. CD38 zit op myelomacellen. Door eraan te binden helpen deze middelen het immuunsysteem om de kwaadaardige cellen op te ruimen.</w:t>
      </w:r>
    </w:p>
    <w:p>
      <w:pPr>
        <w:pStyle w:val="Heading3"/>
      </w:pPr>
      <w:r>
        <w:t>Bortezomib en carfilzomib</w:t>
      </w:r>
    </w:p>
    <w:p>
      <w:r>
        <w:t xml:space="preserve">Dit zijn </w:t>
      </w:r>
      <w:r>
        <w:rPr>
          <w:b/>
        </w:rPr>
        <w:t>proteasoomremmers</w:t>
      </w:r>
      <w:r>
        <w:t>. Het proteasoom is een systeem waarmee cellen eiwitten afbreken. Als je dat remt, stapelen eiwitten zich op en raakt de tumorcel beschadigd. Myeloomcellen zijn hier extra gevoelig voor.</w:t>
      </w:r>
    </w:p>
    <w:p>
      <w:pPr>
        <w:pStyle w:val="Heading3"/>
      </w:pPr>
      <w:r>
        <w:t>Dexamethason</w:t>
      </w:r>
    </w:p>
    <w:p>
      <w:r>
        <w:t>Dit is een corticosteroïd met sterke ontstekingsremmende werking. In myeloombehandeling zorgt het voor afsterven van plasmacellen en wordt het vaak als basis in combinaties gebruikt.</w:t>
      </w:r>
    </w:p>
    <w:p>
      <w:pPr>
        <w:pStyle w:val="Heading3"/>
      </w:pPr>
      <w:r>
        <w:t>Pomalidomide</w:t>
      </w:r>
    </w:p>
    <w:p>
      <w:pPr>
        <w:pStyle w:val="Heading2"/>
      </w:pPr>
      <w:r>
        <w:t>Pomalidomide werkt op meerdere manieren:</w:t>
      </w:r>
    </w:p>
    <w:p>
      <w:pPr>
        <w:pStyle w:val="ListBullet"/>
      </w:pPr>
      <w:r>
        <w:t>remt de groei van myeloomcellen</w:t>
      </w:r>
    </w:p>
    <w:p>
      <w:pPr>
        <w:pStyle w:val="ListBullet"/>
      </w:pPr>
      <w:r>
        <w:t>stimuleert het immuunsysteem</w:t>
      </w:r>
    </w:p>
    <w:p>
      <w:pPr>
        <w:pStyle w:val="ListBullet"/>
      </w:pPr>
      <w:r>
        <w:t>remt de vorming van bloedvaten die de tumor voeden</w:t>
      </w:r>
    </w:p>
    <w:p>
      <w:pPr>
        <w:pStyle w:val="Heading2"/>
      </w:pPr>
      <w:r>
        <w:t>Samenvatting van de kern</w:t>
      </w:r>
    </w:p>
    <w:p>
      <w:r>
        <w:t xml:space="preserve">Multipel myeloom is een plasmacelziekte met M-proteïne, anemie, botafwijkingen en soms nierfunctiestoornis. In deze casus werd de diagnose ondersteund door normocytaire anemie, laag-normale reticulocyten, verhoogd creatinine en een monoclonaal IgG-kappa M-proteïne. Na behandeling was er een </w:t>
      </w:r>
      <w:r>
        <w:rPr>
          <w:b/>
        </w:rPr>
        <w:t>VGPR</w:t>
      </w:r>
      <w:r>
        <w:t xml:space="preserve">, maar later ontstond progressie tijdens lenalidomide-onderhoud, waardoor de patiënt </w:t>
      </w:r>
      <w:r>
        <w:rPr>
          <w:b/>
        </w:rPr>
        <w:t>lenalidomide-refractair</w:t>
      </w:r>
      <w:r>
        <w:t xml:space="preserve"> werd. Voor 2e lijns behandeling zijn vooral </w:t>
      </w:r>
      <w:r>
        <w:rPr>
          <w:b/>
        </w:rPr>
        <w:t>isatuximab-carfilzomib-dexamethason</w:t>
      </w:r>
      <w:r>
        <w:t xml:space="preserve"> of </w:t>
      </w:r>
      <w:r>
        <w:rPr>
          <w:b/>
        </w:rPr>
        <w:t>daratumumab-carfilzomib-dexamethason</w:t>
      </w:r>
      <w:r>
        <w:t xml:space="preserve"> belangrijke opties, afhankelijk van eerdere blootstelling en tolerantie. In een latere fase is shared decision making essentieel: dan moet duidelijk worden besproken wat behandeling nog kan opleveren, welke bijwerkingen te verwachten zijn en wanneer palliatief-supportieve zorg een passend alternatief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