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7 – Niertransplantatie — oefenvragen</w:t>
      </w:r>
    </w:p>
    <w:p>
      <w:pPr>
        <w:pStyle w:val="ListNumber"/>
      </w:pPr>
      <w:r>
        <w:t>Waarom wordt de voorbereiding op niertransplantatie bij voorkeur al vroeg gestart?</w:t>
      </w:r>
    </w:p>
    <w:p>
      <w:r>
        <w:t xml:space="preserve">A. Omdat de definitieve bloedgroepbepaling pas vlak voor de operatie betrouwbaar is  </w:t>
        <w:br/>
        <w:t xml:space="preserve">B. Omdat de screening en afstemming tijd kosten en de nierfunctie geleidelijk blijft dalen  </w:t>
        <w:br/>
        <w:t xml:space="preserve">C. Omdat de chirurgische ruimte in de fossa iliaca pas later goed te beoordelen is  </w:t>
        <w:br/>
        <w:t>D. Omdat immunosuppressiva pas na dialyse veilig kunnen worden ingesteld</w:t>
      </w:r>
    </w:p>
    <w:p>
      <w:pPr>
        <w:pStyle w:val="ListNumber"/>
      </w:pPr>
      <w:r>
        <w:t>Welke combinatie hoort het best bij de pretransplantatiescreening?</w:t>
      </w:r>
    </w:p>
    <w:p>
      <w:r>
        <w:t xml:space="preserve">A. Bloedgroep, HLA-typering, antistoffen tegen HLA en beoordeling van andere orgaansystemen  </w:t>
        <w:br/>
        <w:t xml:space="preserve">B. Bloedgroep, leverfunctietest, botdichtheid en longfunctie  </w:t>
        <w:br/>
        <w:t xml:space="preserve">C. HLA-typering, stollingsonderzoek, glomerulaire filtratie en urinekweek  </w:t>
        <w:br/>
        <w:t>D. Bloedgroep, HLA-typering, ECG en beoordeling van de schildklier</w:t>
      </w:r>
    </w:p>
    <w:p>
      <w:pPr>
        <w:pStyle w:val="ListNumber"/>
      </w:pPr>
      <w:r>
        <w:t>Waar let de chirurg bij de voorbereiding van niertransplantatie vooral op?</w:t>
      </w:r>
    </w:p>
    <w:p>
      <w:r>
        <w:t xml:space="preserve">A. Alleen op de mate van immunologische matching  </w:t>
        <w:br/>
        <w:t xml:space="preserve">B. Vooral op de nierfunctie van de donor nier  </w:t>
        <w:br/>
        <w:t xml:space="preserve">C. Op de vaten, de beschikbare ruimte en technische belemmeringen  </w:t>
        <w:br/>
        <w:t>D. Vooral op de aanwezigheid van proteïnurie en hematurie</w:t>
      </w:r>
    </w:p>
    <w:p>
      <w:pPr>
        <w:pStyle w:val="ListNumber"/>
      </w:pPr>
      <w:r>
        <w:t>Welke factor maakt de operatie technisch lastiger door beperkte ruimte?</w:t>
      </w:r>
    </w:p>
    <w:p>
      <w:r>
        <w:t xml:space="preserve">A. Een kleine nierenrijpe blaas  </w:t>
        <w:br/>
        <w:t xml:space="preserve">B. Een eerdere appendectomie zonder complicaties  </w:t>
        <w:br/>
        <w:t xml:space="preserve">C. Overgewicht of grote cystennieren  </w:t>
        <w:br/>
        <w:t>D. Een lage bloeddruk tijdens dialyse</w:t>
      </w:r>
    </w:p>
    <w:p>
      <w:pPr>
        <w:pStyle w:val="ListNumber"/>
      </w:pPr>
      <w:r>
        <w:t>Welke aanvullende beeldvorming past het best bij beoordeling van de aorto-iliacale vaten?</w:t>
      </w:r>
    </w:p>
    <w:p>
      <w:r>
        <w:t xml:space="preserve">A. MRI van de nieren met contrast  </w:t>
        <w:br/>
        <w:t xml:space="preserve">B. CT-angiografie van de aorto-iliacale vaten of duplexonderzoek  </w:t>
        <w:br/>
        <w:t xml:space="preserve">C. Echografie van de galblaas en milt  </w:t>
        <w:br/>
        <w:t>D. PET-scan van het bekken</w:t>
      </w:r>
    </w:p>
    <w:p>
      <w:pPr>
        <w:pStyle w:val="ListNumber"/>
      </w:pPr>
      <w:r>
        <w:t>Wat is een mogelijk nadeel als een zeer grote cystenier eerst verwijderd moet worden om ruimte te maken?</w:t>
      </w:r>
    </w:p>
    <w:p>
      <w:r>
        <w:t xml:space="preserve">A. De patiënt verliest altijd direct de transplantaatfunctie  </w:t>
        <w:br/>
        <w:t xml:space="preserve">B. Er is soms een extra operatie nodig en tijdelijk kan restnierfunctie verloren gaan  </w:t>
        <w:br/>
        <w:t xml:space="preserve">C. De bloedgroep kan daardoor veranderen  </w:t>
        <w:br/>
        <w:t>D. De immunosuppressie kan dan volledig achterwege blijven</w:t>
      </w:r>
    </w:p>
    <w:p>
      <w:pPr>
        <w:pStyle w:val="ListNumber"/>
      </w:pPr>
      <w:r>
        <w:t>Welke combinatie van oorsprong en middel klopt?</w:t>
      </w:r>
    </w:p>
    <w:p>
      <w:r>
        <w:t xml:space="preserve">A. Schimmel Tolypocladium inflatum — tacrolimus  </w:t>
        <w:br/>
        <w:t xml:space="preserve">B. Bacterie Streptomyces tsukubaensis — ciclosporine A  </w:t>
        <w:br/>
        <w:t xml:space="preserve">C. Schimmel Tolypocladium inflatum — ciclosporine A  </w:t>
        <w:br/>
        <w:t>D. Bacterie Streptomyces tsukubaensis — mycofenolaat mofetil</w:t>
      </w:r>
    </w:p>
    <w:p>
      <w:pPr>
        <w:pStyle w:val="ListNumber"/>
      </w:pPr>
      <w:r>
        <w:t>Welke uitspraak over tacrolimus is juist?</w:t>
      </w:r>
    </w:p>
    <w:p>
      <w:r>
        <w:t xml:space="preserve">A. Prograft is een eenmaaldaagse, langwerkende formulering met aangepaste afgifte  </w:t>
        <w:br/>
        <w:t xml:space="preserve">B. Advagraf is de kortwerkende formulering die tweemaal daags wordt gegeven  </w:t>
        <w:br/>
        <w:t xml:space="preserve">C. Envarsus is een eenmaaldaagse formulering met aangepaste afgifte en betere opname  </w:t>
        <w:br/>
        <w:t>D. Alle formuleringen van tacrolimus zijn onderling volledig uitwisselbaar</w:t>
      </w:r>
    </w:p>
    <w:p>
      <w:pPr>
        <w:pStyle w:val="ListNumber"/>
      </w:pPr>
      <w:r>
        <w:t>Waarom wordt tacrolimus individueel gedoseerd op basis van spiegels of AUC?</w:t>
      </w:r>
    </w:p>
    <w:p>
      <w:r>
        <w:t xml:space="preserve">A. Omdat de opname volledig gelijk is tussen alle patiënten  </w:t>
        <w:br/>
        <w:t xml:space="preserve">B. Omdat de afbraak via CYP3A4/5 per persoon sterk kan verschillen  </w:t>
        <w:br/>
        <w:t xml:space="preserve">C. Omdat tacrolimus alleen werkt bij vaste maximale doseringen  </w:t>
        <w:br/>
        <w:t>D. Omdat de werking vooral afhangt van de bloedgroep</w:t>
      </w:r>
    </w:p>
    <w:p>
      <w:pPr>
        <w:pStyle w:val="ListNumber"/>
      </w:pPr>
      <w:r>
        <w:t>Welke combinatie kan de tacrolimusspiegel verhogen of verlagen via CYP3A-interactie?</w:t>
      </w:r>
    </w:p>
    <w:p>
      <w:r>
        <w:t xml:space="preserve">A. Macrolide antibiotica, rifampicine en azool-antischimmelmiddelen  </w:t>
        <w:br/>
        <w:t xml:space="preserve">B. Paracetamol, calciumzouten en protonpompremmers  </w:t>
        <w:br/>
        <w:t xml:space="preserve">C. IJzer, vitamine D en foliumzuur  </w:t>
        <w:br/>
        <w:t>D. Heparine, furosemide en insuline</w:t>
      </w:r>
    </w:p>
    <w:p>
      <w:pPr>
        <w:pStyle w:val="ListNumber"/>
      </w:pPr>
      <w:r>
        <w:t>Waarom is diarree bij een patiënt die tacrolimus gebruikt extra belangrijk?</w:t>
      </w:r>
    </w:p>
    <w:p>
      <w:r>
        <w:t xml:space="preserve">A. Omdat tacrolimus dan minder goed wordt opgenomen en kan wegvallen  </w:t>
        <w:br/>
        <w:t xml:space="preserve">B. Omdat diarree de opname van tacrolimus kan verhogen en de spiegel sterk kan laten stijgen  </w:t>
        <w:br/>
        <w:t xml:space="preserve">C. Omdat diarree alleen de werking van ciclosporine beïnvloedt, niet die van tacrolimus  </w:t>
        <w:br/>
        <w:t>D. Omdat diarree de tacrolimusafbraak in de lever volledig stopt</w:t>
      </w:r>
    </w:p>
    <w:p>
      <w:pPr>
        <w:pStyle w:val="ListNumber"/>
      </w:pPr>
      <w:r>
        <w:t>Welke verandering past het best bij acute tacrolimusnefrotoxiciteit?</w:t>
      </w:r>
    </w:p>
    <w:p>
      <w:r>
        <w:t xml:space="preserve">A. Arteriolaire hyalinose en interstitiële fibrose  </w:t>
        <w:br/>
        <w:t xml:space="preserve">B. Glomerulosclerose en tubulaire atrofie  </w:t>
        <w:br/>
        <w:t xml:space="preserve">C. Vasoconstrictie met afgenomen doorbloeding en filtratie  </w:t>
        <w:br/>
        <w:t>D. Chronische littekenvorming van alle nierstructuren</w:t>
      </w:r>
    </w:p>
    <w:p>
      <w:pPr>
        <w:pStyle w:val="ListNumber"/>
      </w:pPr>
      <w:r>
        <w:t>Welke bevinding past het best bij chronische tacrolimusnefrotoxiciteit?</w:t>
      </w:r>
    </w:p>
    <w:p>
      <w:r>
        <w:t xml:space="preserve">A. Alleen tijdelijke vasoconstrictie van de afferente arteriole  </w:t>
        <w:br/>
        <w:t xml:space="preserve">B. Structurele schade zoals arteriolaire hyalinose, glomerulosclerose, tubulaire atrofie en interstitiële fibrose  </w:t>
        <w:br/>
        <w:t xml:space="preserve">C. Alleen een korte daling van de filtratie zonder weefselschade  </w:t>
        <w:br/>
        <w:t>D. Alleen een verhoogde opname in de darm</w:t>
      </w:r>
    </w:p>
    <w:p>
      <w:pPr>
        <w:pStyle w:val="ListNumber"/>
      </w:pPr>
      <w:r>
        <w:t>Bij welke transplantatieontvanger is CMV-profylaxe met valganciclovir vooral belangrijk?</w:t>
      </w:r>
    </w:p>
    <w:p>
      <w:r>
        <w:t xml:space="preserve">A. Alleen bij iedere ontvanger met een CMV-negatieve donor  </w:t>
        <w:br/>
        <w:t xml:space="preserve">B. Vooral bij ontvangers die zelf seronegatief zijn, vanwege het ontbreken van eerdere immuniteit  </w:t>
        <w:br/>
        <w:t xml:space="preserve">C. Alleen wanneer de patiënt al klachten heeft van CMV  </w:t>
        <w:br/>
        <w:t>D. Alleen wanneer de nierfunctie volledig stabiel is na een jaar</w:t>
      </w:r>
    </w:p>
    <w:p>
      <w:pPr>
        <w:pStyle w:val="ListNumber"/>
      </w:pPr>
      <w:r>
        <w:t>Welke aanpak past het best bij CMV na niertransplantatie?</w:t>
      </w:r>
    </w:p>
    <w:p>
      <w:r>
        <w:t xml:space="preserve">A. Diagnose met bloed-PCR, behandeling met hogere dosis valganciclovir en zo nodig tijdelijke vermindering van immunosuppressie  </w:t>
        <w:br/>
        <w:t xml:space="preserve">B. Diagnose met urinekweek, behandeling met lage dosis tacrolimus en verhoging van mycofenolaat  </w:t>
        <w:br/>
        <w:t xml:space="preserve">C. Diagnose met HLA-typering, behandeling met prednison alleen  </w:t>
        <w:br/>
        <w:t>D. Diagnose met CT-scan, behandeling met rifampicine en stoppen van valganciclovir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