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56 – Celtherapie als behandeling voor maligniteiten — oefenvragen</w:t>
      </w:r>
    </w:p>
    <w:p>
      <w:pPr>
        <w:pStyle w:val="ListNumber"/>
      </w:pPr>
      <w:r>
        <w:t>Wat is het belangrijkste verschil tussen autologe en allogene stamceltransplantatie?</w:t>
      </w:r>
    </w:p>
    <w:p>
      <w:r>
        <w:t xml:space="preserve">A. Bij autologe transplantatie worden donor-T-cellen toegediend om een graft-versus-tumor effect op te wekken.  </w:t>
        <w:br/>
        <w:t xml:space="preserve">   B. Bij allogene transplantatie komen de stamcellen van de patiënt zelf en is HLA-matching daarom niet nodig.  </w:t>
        <w:br/>
        <w:t xml:space="preserve">   C. Bij autologe transplantatie is er geen risico op GVHD, terwijl dat bij allogene transplantatie wel bestaat.  </w:t>
        <w:br/>
        <w:t xml:space="preserve">   D. Bij allogene transplantatie wordt altijd beenmerg gebruikt als stamcelbron.</w:t>
      </w:r>
    </w:p>
    <w:p>
      <w:pPr>
        <w:pStyle w:val="ListNumber"/>
      </w:pPr>
      <w:r>
        <w:t>Waarom krijgt een patiënt bij autologe HSCT eerst hoge-dosis chemotherapie?</w:t>
      </w:r>
    </w:p>
    <w:p>
      <w:r>
        <w:t xml:space="preserve">A. Om donorstamcellen beter te laten ingroeien.  </w:t>
        <w:br/>
        <w:t xml:space="preserve">   B. Om de ziekte zo ver mogelijk terug te dringen en daarna het eigen beenmerg weer te laten herstellen.  </w:t>
        <w:br/>
        <w:t xml:space="preserve">   C. Om vooral het immuunsysteem tijdelijk te verzwakken, zodat er geen afstoting optreedt.  </w:t>
        <w:br/>
        <w:t xml:space="preserve">   D. Om de stamcellen uit het perifere bloed makkelijker te kunnen verzamelen.</w:t>
      </w:r>
    </w:p>
    <w:p>
      <w:pPr>
        <w:pStyle w:val="ListNumber"/>
      </w:pPr>
      <w:r>
        <w:t>Welke combinatie past het best bij de meest voorkomende indicatie voor autologe HSCT?</w:t>
      </w:r>
    </w:p>
    <w:p>
      <w:r>
        <w:t xml:space="preserve">A. Multipel myeloom na inductiechemotherapie.  </w:t>
        <w:br/>
        <w:t xml:space="preserve">   B. AML na HLA-identieke donorselectie.  </w:t>
        <w:br/>
        <w:t xml:space="preserve">   C. SCID met navelstrengbloedtransplantatie.  </w:t>
        <w:br/>
        <w:t xml:space="preserve">   D. Chronische GVHD met afbouw van immunosuppressie.</w:t>
      </w:r>
    </w:p>
    <w:p>
      <w:pPr>
        <w:pStyle w:val="ListNumber"/>
      </w:pPr>
      <w:r>
        <w:t>Welke complicatie kan direct samenhangen met de infusie van gecryopreserveerde stamcellen bij autologe HSCT?</w:t>
      </w:r>
    </w:p>
    <w:p>
      <w:r>
        <w:t xml:space="preserve">A. Leverveno-occlusieve ziekte  </w:t>
        <w:br/>
        <w:t xml:space="preserve">   B. B-celaplasie  </w:t>
        <w:br/>
        <w:t xml:space="preserve">   C. DMSO-gerelateerde misselijkheid en rillingen  </w:t>
        <w:br/>
        <w:t xml:space="preserve">   D. Chronische GVHD</w:t>
      </w:r>
    </w:p>
    <w:p>
      <w:pPr>
        <w:pStyle w:val="ListNumber"/>
      </w:pPr>
      <w:r>
        <w:t>Wat is het belangrijkste doel van conditionering vóór allogene HSCT?</w:t>
      </w:r>
    </w:p>
    <w:p>
      <w:r>
        <w:t xml:space="preserve">A. Het transplantaat meer stamcellen laten bevatten.  </w:t>
        <w:br/>
        <w:t xml:space="preserve">   B. De afweer van de patiënt verzwakken zodat het donortransplantaat niet wordt afgestoten.  </w:t>
        <w:br/>
        <w:t xml:space="preserve">   C. De donor-T-cellen selectief verwijderen uit het transplantaat.  </w:t>
        <w:br/>
        <w:t xml:space="preserve">   D. Het risico op late secundaire maligniteiten verlagen.</w:t>
      </w:r>
    </w:p>
    <w:p>
      <w:pPr>
        <w:pStyle w:val="ListNumber"/>
      </w:pPr>
      <w:r>
        <w:t>Welke uitspraak over HLA-klassen is juist?</w:t>
      </w:r>
    </w:p>
    <w:p>
      <w:r>
        <w:t xml:space="preserve">A. HLA-klasse I zit vooral op antigeenpresenterende cellen en presenteert extracellulaire antigenen aan CD4+ T-cellen.  </w:t>
        <w:br/>
        <w:t xml:space="preserve">   B. HLA-klasse II zit op alle kernhoudende cellen en presenteert intracellulaire antigenen aan CD8+ T-cellen.  </w:t>
        <w:br/>
        <w:t xml:space="preserve">   C. HLA-klasse I omvat HLA-A, HLA-B en HLA-C en presenteert meestal intracellulaire antigenen aan CD8+ T-cellen.  </w:t>
        <w:br/>
        <w:t xml:space="preserve">   D. HLA-klasse II omvat HLA-A, HLA-B en HLA-C en komt vooral voor op trombocyten.</w:t>
      </w:r>
    </w:p>
    <w:p>
      <w:pPr>
        <w:pStyle w:val="ListNumber"/>
      </w:pPr>
      <w:r>
        <w:t>Wat is de kans dat een broer of zus dezelfde twee HLA-haplotypen erft?</w:t>
      </w:r>
    </w:p>
    <w:p>
      <w:r>
        <w:t xml:space="preserve">A. 12,5%  </w:t>
        <w:br/>
        <w:t xml:space="preserve">   B. 25%  </w:t>
        <w:br/>
        <w:t xml:space="preserve">   C. 50%  </w:t>
        <w:br/>
        <w:t xml:space="preserve">   D. 75%</w:t>
      </w:r>
    </w:p>
    <w:p>
      <w:pPr>
        <w:pStyle w:val="ListNumber"/>
      </w:pPr>
      <w:r>
        <w:t>Hoe heet de reactie waarbij T-cellen vreemde HLA-antigenen herkennen en daarop reageren?</w:t>
      </w:r>
    </w:p>
    <w:p>
      <w:r>
        <w:t xml:space="preserve">A. Alloreactiviteit  </w:t>
        <w:br/>
        <w:t xml:space="preserve">   B. Immuunreconstitutie  </w:t>
        <w:br/>
        <w:t xml:space="preserve">   C. Sensibilisatie tegen minor antigens  </w:t>
        <w:br/>
        <w:t xml:space="preserve">   D. Graft-versus-hostziekte</w:t>
      </w:r>
    </w:p>
    <w:p>
      <w:pPr>
        <w:pStyle w:val="ListNumber"/>
      </w:pPr>
      <w:r>
        <w:t>Welke situatie illustreert een mogelijke invloed van een minor antigeen?</w:t>
      </w:r>
    </w:p>
    <w:p>
      <w:r>
        <w:t xml:space="preserve">A. Een patiënt krijgt autologe stamcellen terug en ontwikkelt daardoor GVHD.  </w:t>
        <w:br/>
        <w:t xml:space="preserve">   B. Een HLA-identieke transplantatie kan toch afstoting geven door niet-HLA-eiwitten.  </w:t>
        <w:br/>
        <w:t xml:space="preserve">   C. Een donor met dezelfde HLA-typen veroorzaakt nooit afstoting, ook niet bij geslachtverschil.  </w:t>
        <w:br/>
        <w:t xml:space="preserve">   D. Een mismatch in HLA-klasse I leidt alleen tot een vertraagde engraftment, maar nooit tot afstoting.</w:t>
      </w:r>
    </w:p>
    <w:p>
      <w:pPr>
        <w:pStyle w:val="ListNumber"/>
      </w:pPr>
      <w:r>
        <w:t>Welke combinatie past het best bij acute GVHD?</w:t>
      </w:r>
    </w:p>
    <w:p>
      <w:r>
        <w:t xml:space="preserve">A. Ontstaat meestal pas na 1–2 jaar en treft vooral longen, ogen en mond.  </w:t>
        <w:br/>
        <w:t xml:space="preserve">   B. Wordt veroorzaakt door donor-T-cellen en kan huid, darm en lever aantasten.  </w:t>
        <w:br/>
        <w:t xml:space="preserve">   C. Ontstaat door het toedienen van DMSO en geeft vooral misselijkheid en rillingen.  </w:t>
        <w:br/>
        <w:t xml:space="preserve">   D. Is een complicatie die alleen voorkomt na autologe HSCT.</w:t>
      </w:r>
    </w:p>
    <w:p>
      <w:pPr>
        <w:pStyle w:val="ListNumber"/>
      </w:pPr>
      <w:r>
        <w:t>Wat is de meest typische eerste behandeling bij beperkte huidafwijkingen van acute GVHD?</w:t>
      </w:r>
    </w:p>
    <w:p>
      <w:r>
        <w:t xml:space="preserve">A. Lokale corticosteroïden  </w:t>
        <w:br/>
        <w:t xml:space="preserve">   B. Hoge dosis prednison  </w:t>
        <w:br/>
        <w:t xml:space="preserve">   C. Totale lichaamsbestraling  </w:t>
        <w:br/>
        <w:t xml:space="preserve">   D. Herhaalde aferese van de patiënt</w:t>
      </w:r>
    </w:p>
    <w:p>
      <w:pPr>
        <w:pStyle w:val="ListNumber"/>
      </w:pPr>
      <w:r>
        <w:t>Welke uitspraak over chronische GVHD is het meest juist?</w:t>
      </w:r>
    </w:p>
    <w:p>
      <w:r>
        <w:t xml:space="preserve">A. Treedt meestal vroeg op, binnen de eerste 10 dagen na transplantatie.  </w:t>
        <w:br/>
        <w:t xml:space="preserve">   B. Beperkt zich vrijwel altijd tot de huid.  </w:t>
        <w:br/>
        <w:t xml:space="preserve">   C. Kan optreden tijdens het afbouwen van immunosuppressie en bijna elk orgaan aantasten.  </w:t>
        <w:br/>
        <w:t xml:space="preserve">   D. Komt vooral voor bij autologe HSCT door de hoge dosis chemotherapie.</w:t>
      </w:r>
    </w:p>
    <w:p>
      <w:pPr>
        <w:pStyle w:val="ListNumber"/>
      </w:pPr>
      <w:r>
        <w:t>Welke volgorde past het best bij CAR T-celtherapie?</w:t>
      </w:r>
    </w:p>
    <w:p>
      <w:r>
        <w:t xml:space="preserve">A. Preconditionering – aferese – expansie – modificatie – infusie  </w:t>
        <w:br/>
        <w:t xml:space="preserve">   B. Aferese – modificatie – expansie en productvorming – preconditionering – infusie  </w:t>
        <w:br/>
        <w:t xml:space="preserve">   C. Modificatie – aferese – infusie – expansie – preconditionering  </w:t>
        <w:br/>
        <w:t xml:space="preserve">   D. Aferese – preconditionering – infusie – modificatie – expansie</w:t>
      </w:r>
    </w:p>
    <w:p>
      <w:pPr>
        <w:pStyle w:val="ListNumber"/>
      </w:pPr>
      <w:r>
        <w:t>Welke indicatie past het best bij anti-CD19 CAR T-celtherapie in Nederland?</w:t>
      </w:r>
    </w:p>
    <w:p>
      <w:r>
        <w:t xml:space="preserve">A. DLBCL na twee eerdere behandellijnen of bij primair refractaire ziekte  </w:t>
        <w:br/>
        <w:t xml:space="preserve">   B. Multipel myeloom als standaard eerste behandeling  </w:t>
        <w:br/>
        <w:t xml:space="preserve">   C. AML bij alle patiënten zonder andere opties  </w:t>
        <w:br/>
        <w:t xml:space="preserve">   D. Aplastische anemie met een HLA-gematchte donor</w:t>
      </w:r>
    </w:p>
    <w:p>
      <w:pPr>
        <w:pStyle w:val="ListNumber"/>
      </w:pPr>
      <w:r>
        <w:t>Welke combinatie past het best bij CAR-T-toxiciteit?</w:t>
      </w:r>
    </w:p>
    <w:p>
      <w:r>
        <w:t xml:space="preserve">A. CRS ontstaat vaak dagen na infusie en kan samengaan met snelle cytokineafgifte.  </w:t>
        <w:br/>
        <w:t xml:space="preserve">   B. ICANS treedt meestal direct bij infusie op en uit zich vooral in leverfalen.  </w:t>
        <w:br/>
        <w:t xml:space="preserve">   C. B-celaplasie is zeldzaam en hoort niet bij on-target effecten.  </w:t>
        <w:br/>
        <w:t xml:space="preserve">   D. Insertionele oncogenese is een frequente en verwachte bijwerking.</w:t>
      </w:r>
    </w:p>
    <w:p>
      <w:pPr>
        <w:pStyle w:val="Heading4"/>
      </w:pPr>
      <w:r>
        <w:t>Antwoorden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