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57 – Het MM als voorbeeld voor targeted therapy in de hemato-oncologie — oefenvragen</w:t>
      </w:r>
    </w:p>
    <w:p>
      <w:pPr>
        <w:pStyle w:val="ListNumber"/>
      </w:pPr>
      <w:r>
        <w:t>Welke combinatie past het best bij symptomatisch multipel myeloom?</w:t>
      </w:r>
    </w:p>
    <w:p>
      <w:r>
        <w:t xml:space="preserve">A. M-proteïne aanwezig, beenmergplasmacellen &lt;10% en geen orgaanschade  </w:t>
        <w:br/>
        <w:t xml:space="preserve">   B. M-proteïne aanwezig, beenmergplasmacellen ≥10%, maar nog geen MDE  </w:t>
        <w:br/>
        <w:t xml:space="preserve">   C. M-proteïne aanwezig, plasmacellen in het beenmerg én ROTI/CRAB  </w:t>
        <w:br/>
        <w:t xml:space="preserve">   D. Alleen een verhoogde vrije lichteketenratio, zonder andere afwijkingen</w:t>
      </w:r>
    </w:p>
    <w:p>
      <w:pPr>
        <w:pStyle w:val="ListNumber"/>
      </w:pPr>
      <w:r>
        <w:t>Waarom krijgt iemand met veel M-proteïne toch relatief vaak infecties?</w:t>
      </w:r>
    </w:p>
    <w:p>
      <w:r>
        <w:t xml:space="preserve">A. Omdat de myeloomcel vooral neutrofielen verdringt in plaats van plasmacellen  </w:t>
        <w:br/>
        <w:t xml:space="preserve">   B. Omdat de andere, normale immunoglobulines vaak verlaagd zijn  </w:t>
        <w:br/>
        <w:t xml:space="preserve">   C. Omdat M-proteïne zelf de werking van antibiotica blokkeert  </w:t>
        <w:br/>
        <w:t xml:space="preserve">   D. Omdat hypercalciëmie de afweer rechtstreeks onderdrukt</w:t>
      </w:r>
    </w:p>
    <w:p>
      <w:pPr>
        <w:pStyle w:val="ListNumber"/>
      </w:pPr>
      <w:r>
        <w:t>Welke verklaring past het best bij de botproblemen bij multipel myeloom?</w:t>
      </w:r>
    </w:p>
    <w:p>
      <w:r>
        <w:t xml:space="preserve">A. De myeloomcel maakt botweefsel stijver, waardoor het sneller breekt  </w:t>
        <w:br/>
        <w:t xml:space="preserve">   B. De myeloomcel stimuleert alleen osteoblasten, waardoor het bot instabiel wordt  </w:t>
        <w:br/>
        <w:t xml:space="preserve">   C. De myeloomcel remt vooral de nierfunctie, waarna botafbraak ontstaat  </w:t>
        <w:br/>
        <w:t xml:space="preserve">   D. De myeloomcel stimuleert osteoclasten en remt osteoblasten</w:t>
      </w:r>
    </w:p>
    <w:p>
      <w:pPr>
        <w:pStyle w:val="ListNumber"/>
      </w:pPr>
      <w:r>
        <w:t>Wat is het belangrijkste werkingsmechanisme van melfalan?</w:t>
      </w:r>
    </w:p>
    <w:p>
      <w:r>
        <w:t xml:space="preserve">A. Het vormt cross-links in DNA en verstoort zo synthese en transcriptie  </w:t>
        <w:br/>
        <w:t xml:space="preserve">   B. Het remt rechtstreeks het proteasoom en veroorzaakt eiwitstapeling  </w:t>
        <w:br/>
        <w:t xml:space="preserve">   C. Het activeert T-cellen tegen CD38-positieve cellen  </w:t>
        <w:br/>
        <w:t xml:space="preserve">   D. Het blokkeert de export van tumorsuppressoren uit de kern</w:t>
      </w:r>
    </w:p>
    <w:p>
      <w:pPr>
        <w:pStyle w:val="ListNumber"/>
      </w:pPr>
      <w:r>
        <w:t>Waarom wordt hooggedoseerd melfalan vaak als consolidatie na inductie gegeven?</w:t>
      </w:r>
    </w:p>
    <w:p>
      <w:r>
        <w:t xml:space="preserve">A. Om vooral de botafbraak acuut te remmen  </w:t>
        <w:br/>
        <w:t xml:space="preserve">   B. Om de nierfunctie direct te herstellen  </w:t>
        <w:br/>
        <w:t xml:space="preserve">   C. Om resterende kwaadaardige plasmacellen zo veel mogelijk te vernietigen en het ziektevrije interval te verlengen  </w:t>
        <w:br/>
        <w:t xml:space="preserve">   D. Om de tumorcellen gevoeliger te maken voor antibiotica</w:t>
      </w:r>
    </w:p>
    <w:p>
      <w:pPr>
        <w:pStyle w:val="ListNumber"/>
      </w:pPr>
      <w:r>
        <w:t>Welke proteasoomremmer is irreversibel?</w:t>
      </w:r>
    </w:p>
    <w:p>
      <w:r>
        <w:t xml:space="preserve">A. Bortezomib  </w:t>
        <w:br/>
        <w:t xml:space="preserve">   B. Carfilzomib  </w:t>
        <w:br/>
        <w:t xml:space="preserve">   C. Ixazomib  </w:t>
        <w:br/>
        <w:t xml:space="preserve">   D. Selinexor</w:t>
      </w:r>
    </w:p>
    <w:p>
      <w:pPr>
        <w:pStyle w:val="ListNumber"/>
      </w:pPr>
      <w:r>
        <w:t>Welke werking hoort níet bij IMiDs zoals lenalidomide en pomalidomide?</w:t>
      </w:r>
    </w:p>
    <w:p>
      <w:r>
        <w:t xml:space="preserve">A. Activatie van T-cellen en NK-cellen  </w:t>
        <w:br/>
        <w:t xml:space="preserve">   B. Verandering van de tumormicro-omgeving  </w:t>
        <w:br/>
        <w:t xml:space="preserve">   C. Inductie van apoptose  </w:t>
        <w:br/>
        <w:t xml:space="preserve">   D. Rechtstreekse blokkade van het proteasoom</w:t>
      </w:r>
    </w:p>
    <w:p>
      <w:pPr>
        <w:pStyle w:val="ListNumber"/>
      </w:pPr>
      <w:r>
        <w:t>Tegen welk target is daratumumab gericht?</w:t>
      </w:r>
    </w:p>
    <w:p>
      <w:r>
        <w:t xml:space="preserve">A. CD38  </w:t>
        <w:br/>
        <w:t xml:space="preserve">   B. SLAMF7  </w:t>
        <w:br/>
        <w:t xml:space="preserve">   C. BCMA  </w:t>
        <w:br/>
        <w:t xml:space="preserve">   D. GPRC5D</w:t>
      </w:r>
    </w:p>
    <w:p>
      <w:pPr>
        <w:pStyle w:val="ListNumber"/>
      </w:pPr>
      <w:r>
        <w:t>Wat is het belangrijkste principe achter bispecifieke antistoffen zoals teclistamab?</w:t>
      </w:r>
    </w:p>
    <w:p>
      <w:r>
        <w:t xml:space="preserve">A. Ze remmen de export van eiwitten uit de kern  </w:t>
        <w:br/>
        <w:t xml:space="preserve">   B. Ze maken een nieuwe antigeenreceptor op de T-cel  </w:t>
        <w:br/>
        <w:t xml:space="preserve">   C. Ze brengen een T-cel en een myeloomcel dicht bij elkaar zodat de T-cel de tumorcel kan doden  </w:t>
        <w:br/>
        <w:t xml:space="preserve">   D. Ze blokkeren de vorming van vrije lichte ketens door de plasmacel</w:t>
      </w:r>
    </w:p>
    <w:p>
      <w:pPr>
        <w:pStyle w:val="ListNumber"/>
      </w:pPr>
      <w:r>
        <w:t>Welk onderdeel van een CAR is vooral bedoeld voor herkenning van het target?</w:t>
      </w:r>
    </w:p>
    <w:p>
      <w:r>
        <w:t xml:space="preserve">A. Het hinge-domein  </w:t>
        <w:br/>
        <w:t xml:space="preserve">   B. Het scFv-domein  </w:t>
        <w:br/>
        <w:t xml:space="preserve">   C. Het transmembraandomein  </w:t>
        <w:br/>
        <w:t xml:space="preserve">   D. Het intracellulaire domein</w:t>
      </w:r>
    </w:p>
    <w:p>
      <w:pPr>
        <w:pStyle w:val="ListNumber"/>
      </w:pPr>
      <w:r>
        <w:t>Welke uitspraak over BCMA en GPRC5D is juist?</w:t>
      </w:r>
    </w:p>
    <w:p>
      <w:r>
        <w:t xml:space="preserve">A. BCMA komt alleen voor op gezonde cellen en niet op myeloomcellen  </w:t>
        <w:br/>
        <w:t xml:space="preserve">   B. GPRC5D wordt vooral in MGUS sterk tot expressie gebracht  </w:t>
        <w:br/>
        <w:t xml:space="preserve">   C. BCMA is vrijwel afwezig op plasmacellen en vooral aanwezig op T-cellen  </w:t>
        <w:br/>
        <w:t xml:space="preserve">   D. GPRC5D heeft nauwelijks expressie op gezonde menselijke cellen en juist hoge expressie op myeloomcellen</w:t>
      </w:r>
    </w:p>
    <w:p>
      <w:pPr>
        <w:pStyle w:val="ListNumber"/>
      </w:pPr>
      <w:r>
        <w:t>Wat is het werkingsmechanisme van selinexor?</w:t>
      </w:r>
    </w:p>
    <w:p>
      <w:r>
        <w:t xml:space="preserve">A. Het remt de export van tumorsuppressoren uit de kern  </w:t>
        <w:br/>
        <w:t xml:space="preserve">   B. Het blokkeert CD38 op myeloomcellen  </w:t>
        <w:br/>
        <w:t xml:space="preserve">   C. Het activeert het proteasoom zodat fout gevouwen eiwitten sneller worden afgebroken  </w:t>
        <w:br/>
        <w:t xml:space="preserve">   D. Het voorkomt de vorming van antistoffen door normale B-cellen</w:t>
      </w:r>
    </w:p>
    <w:p>
      <w:pPr>
        <w:pStyle w:val="ListNumber"/>
      </w:pPr>
      <w:r>
        <w:t>Bij welke myeloomvariant is venetoclax vooral logisch, vanwege sterke afhankelijkheid van Bcl2?</w:t>
      </w:r>
    </w:p>
    <w:p>
      <w:r>
        <w:t xml:space="preserve">A. t(11;14)  </w:t>
        <w:br/>
        <w:t xml:space="preserve">   B. del(17p)  </w:t>
        <w:br/>
        <w:t xml:space="preserve">   C. hyperdiploïdie  </w:t>
        <w:br/>
        <w:t xml:space="preserve">   D. t(4;14)</w:t>
      </w:r>
    </w:p>
    <w:p>
      <w:pPr>
        <w:pStyle w:val="ListNumber"/>
      </w:pPr>
      <w:r>
        <w:t>Welke eerstelijnsbehandeling past het best bij een fitte patiënt van 68 jaar?</w:t>
      </w:r>
    </w:p>
    <w:p>
      <w:r>
        <w:t xml:space="preserve">A. DRd, doorgaans tot progressie  </w:t>
        <w:br/>
        <w:t xml:space="preserve">   B. D-VRd, gevolgd door hooggedoseerd melfalan met autologe stamceltransplantatie en daarna onderhoud  </w:t>
        <w:br/>
        <w:t xml:space="preserve">   C. Alleen lenalidomide met dexamethason  </w:t>
        <w:br/>
        <w:t xml:space="preserve">   D. Bortezomib monotherapie totdat progressie optreedt</w:t>
      </w:r>
    </w:p>
    <w:p>
      <w:pPr>
        <w:pStyle w:val="ListNumber"/>
      </w:pPr>
      <w:r>
        <w:t>Waardoor kan daratumumab zijn werkzaamheid verliezen?</w:t>
      </w:r>
    </w:p>
    <w:p>
      <w:r>
        <w:t xml:space="preserve">A. Door overmatige activatie van BCMA  </w:t>
        <w:br/>
        <w:t xml:space="preserve">   B. Door toegenomen expressie van GPRC5D  </w:t>
        <w:br/>
        <w:t xml:space="preserve">   C. Door remming van het proteasoom door carfilzomib  </w:t>
        <w:br/>
        <w:t xml:space="preserve">   D. Door verlies van de bindingsplaats voor CD38</w:t>
      </w:r>
    </w:p>
    <w:p>
      <w:pPr>
        <w:pStyle w:val="Heading4"/>
      </w:pPr>
      <w:r>
        <w:t>Antwoorden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