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LME 33 – Trombose verhoogde stollingsneiging — oefenvragen</w:t>
      </w:r>
    </w:p>
    <w:p>
      <w:pPr>
        <w:pStyle w:val="ListNumber"/>
      </w:pPr>
      <w:r>
        <w:t>Welke situatie past het best bij veneuze trombose?</w:t>
      </w:r>
    </w:p>
    <w:p>
      <w:r>
        <w:t xml:space="preserve">A. Afsluiting van een slagader met risico op een hartinfarct  </w:t>
        <w:br/>
        <w:t xml:space="preserve">   B. Stolselvorming in een ader, bijvoorbeeld in een been of long  </w:t>
        <w:br/>
        <w:t xml:space="preserve">   C. Trage bloedstroom in een slagader door atherosclerose  </w:t>
        <w:br/>
        <w:t xml:space="preserve">   D. Stolselvorming uitsluitend in kleine haarvaten</w:t>
      </w:r>
    </w:p>
    <w:p>
      <w:pPr>
        <w:pStyle w:val="ListNumber"/>
      </w:pPr>
      <w:r>
        <w:t>Welke combinatie hoort het duidelijkst bij de trias van Virchow?</w:t>
      </w:r>
    </w:p>
    <w:p>
      <w:r>
        <w:t xml:space="preserve">A. Endotheelbeschadiging, stase en hypercoagulabiliteit  </w:t>
        <w:br/>
        <w:t xml:space="preserve">   B. Ontsteking, koorts en bloedarmoede  </w:t>
        <w:br/>
        <w:t xml:space="preserve">   C. Hypertensie, tachycardie en dehydratie  </w:t>
        <w:br/>
        <w:t xml:space="preserve">   D. Vasodilatatie, fibrinolyse en trombocytopenie</w:t>
      </w:r>
    </w:p>
    <w:p>
      <w:pPr>
        <w:pStyle w:val="ListNumber"/>
      </w:pPr>
      <w:r>
        <w:t>Welke factor past het best bij circulatoire stase?</w:t>
      </w:r>
    </w:p>
    <w:p>
      <w:r>
        <w:t xml:space="preserve">A. Immobiliteit door verlamming  </w:t>
        <w:br/>
        <w:t xml:space="preserve">   B. Zwangerschap  </w:t>
        <w:br/>
        <w:t xml:space="preserve">   C. Atherosclerose  </w:t>
        <w:br/>
        <w:t xml:space="preserve">   D. Proteïne C-deficiëntie</w:t>
      </w:r>
    </w:p>
    <w:p>
      <w:pPr>
        <w:pStyle w:val="ListNumber"/>
      </w:pPr>
      <w:r>
        <w:t>Een patiënt heeft een licht gezwollen been en een lage klinische kans op DVT. Het D-dimeer is normaal. Wat is dan het meest passende gevolg?</w:t>
      </w:r>
    </w:p>
    <w:p>
      <w:r>
        <w:t xml:space="preserve">A. Direct starten met langdurige antistolling  </w:t>
        <w:br/>
        <w:t xml:space="preserve">   B. DVT blijft waarschijnlijk en CUS is niet nodig  </w:t>
        <w:br/>
        <w:t xml:space="preserve">   C. DVT kan worden uitgesloten  </w:t>
        <w:br/>
        <w:t xml:space="preserve">   D. Alleen bij koorts alsnog echografie verrichten</w:t>
      </w:r>
    </w:p>
    <w:p>
      <w:pPr>
        <w:pStyle w:val="ListNumber"/>
      </w:pPr>
      <w:r>
        <w:t>Welke uitspraak over D-dimeren is juist?</w:t>
      </w:r>
    </w:p>
    <w:p>
      <w:r>
        <w:t xml:space="preserve">A. Verhoogde D-dimeren komen alleen voor bij trombose  </w:t>
        <w:br/>
        <w:t xml:space="preserve">   B. Normale D-dimeren sluiten altijd elke vorm van trombose uit  </w:t>
        <w:br/>
        <w:t xml:space="preserve">   C. D-dimeren zijn afbraakproducten van fibrine  </w:t>
        <w:br/>
        <w:t xml:space="preserve">   D. D-dimeren zijn uitsluitend nuttig bij hoge klinische kans</w:t>
      </w:r>
    </w:p>
    <w:p>
      <w:pPr>
        <w:pStyle w:val="ListNumber"/>
      </w:pPr>
      <w:r>
        <w:t>Wanneer is compressie-ultrasonografie (CUS) de aangewezen vervolgstap?</w:t>
      </w:r>
    </w:p>
    <w:p>
      <w:r>
        <w:t xml:space="preserve">A. Alleen bij een lage klinische kans en normaal D-dimeer  </w:t>
        <w:br/>
        <w:t xml:space="preserve">   B. In alle gevallen behalve lage klinische kans met normaal D-dimeer  </w:t>
        <w:br/>
        <w:t xml:space="preserve">   C. Alleen als de patiënt eerder een trombose heeft gehad  </w:t>
        <w:br/>
        <w:t xml:space="preserve">   D. Alleen wanneer de trombosedienst een INR van 2,0–3,0 meet</w:t>
      </w:r>
    </w:p>
    <w:p>
      <w:pPr>
        <w:pStyle w:val="ListNumber"/>
      </w:pPr>
      <w:r>
        <w:t>Welke onderzoeken of situaties kunnen een verhoogd D-dimeer geven zonder dat er per se sprake is van trombose?</w:t>
      </w:r>
    </w:p>
    <w:p>
      <w:r>
        <w:t xml:space="preserve">A. Alleen een recent trauma  </w:t>
        <w:br/>
        <w:t xml:space="preserve">   B. Infectie, maligniteit, zwangerschap en postoperatieve situatie  </w:t>
        <w:br/>
        <w:t xml:space="preserve">   C. Alleen arteriële trombose  </w:t>
        <w:br/>
        <w:t xml:space="preserve">   D. Alleen een erfelijke trombofilie</w:t>
      </w:r>
    </w:p>
    <w:p>
      <w:pPr>
        <w:pStyle w:val="ListNumber"/>
      </w:pPr>
      <w:r>
        <w:t>Welke behandeling past het best bij heparine?</w:t>
      </w:r>
    </w:p>
    <w:p>
      <w:r>
        <w:t xml:space="preserve">A. Voorziene tabletten met voorspelbare werking en weinig monitoring  </w:t>
        <w:br/>
        <w:t xml:space="preserve">   B. Versterking van antitrombine, vooral effect op factor Xa, met controle via APTT  </w:t>
        <w:br/>
        <w:t xml:space="preserve">   C. Remming van vitamine K-afhankelijke stolling met controle via INR  </w:t>
        <w:br/>
        <w:t xml:space="preserve">   D. Directe remming van trombine zonder noodzaak tot controle</w:t>
      </w:r>
    </w:p>
    <w:p>
      <w:pPr>
        <w:pStyle w:val="ListNumber"/>
      </w:pPr>
      <w:r>
        <w:t>Welke eigenschap hoort het best bij LMWH?</w:t>
      </w:r>
    </w:p>
    <w:p>
      <w:r>
        <w:t xml:space="preserve">A. Korte halfwaardetijd van ongeveer 30 minuten tot 3 uur  </w:t>
        <w:br/>
        <w:t xml:space="preserve">   B. Wordt meestal oraal gegeven en vraagt frequente INR-controle  </w:t>
        <w:br/>
        <w:t xml:space="preserve">   C. Subcutane toediening met voorspelbaar effect en meestal geen routinematige monitoring  </w:t>
        <w:br/>
        <w:t xml:space="preserve">   D. Werkt uitsluitend via remming van trombine</w:t>
      </w:r>
    </w:p>
    <w:p>
      <w:pPr>
        <w:pStyle w:val="ListNumber"/>
      </w:pPr>
      <w:r>
        <w:t>Welke combinatie van middel en halfwaardetijd klopt het best?</w:t>
      </w:r>
    </w:p>
    <w:p>
      <w:r>
        <w:t xml:space="preserve">A. Fenprocoumon – ongeveer 14 uur  </w:t>
        <w:br/>
        <w:t xml:space="preserve">   B. Acenocoumarol – ongeveer 150 uur  </w:t>
        <w:br/>
        <w:t xml:space="preserve">   C. Fenprocoumon – ongeveer 150 uur  </w:t>
        <w:br/>
        <w:t xml:space="preserve">   D. Acenocoumarol – ongeveer 30 minuten</w:t>
      </w:r>
    </w:p>
    <w:p>
      <w:pPr>
        <w:pStyle w:val="ListNumber"/>
      </w:pPr>
      <w:r>
        <w:t>Welke uitspraak over VKA’s is juist?</w:t>
      </w:r>
    </w:p>
    <w:p>
      <w:r>
        <w:t xml:space="preserve">A. Ze werken direct en hebben geen oplaadschema nodig  </w:t>
        <w:br/>
        <w:t xml:space="preserve">   B. Hun werking is variabel, waardoor controle via INR nodig is  </w:t>
        <w:br/>
        <w:t xml:space="preserve">   C. Ze hebben nauwelijks interacties met andere geneesmiddelen  </w:t>
        <w:br/>
        <w:t xml:space="preserve">   D. Ze worden standaard zonder enige monitoring gebruikt</w:t>
      </w:r>
    </w:p>
    <w:p>
      <w:pPr>
        <w:pStyle w:val="ListNumber"/>
      </w:pPr>
      <w:r>
        <w:t>Welke combinatie past het best bij de werking van een DOAC?</w:t>
      </w:r>
    </w:p>
    <w:p>
      <w:r>
        <w:t xml:space="preserve">A. Dabigatran remt factor Xa; rivaroxaban remt trombine  </w:t>
        <w:br/>
        <w:t xml:space="preserve">   B. Dabigatran remt trombine; rivaroxaban, apixaban en edoxaban remmen factor Xa  </w:t>
        <w:br/>
        <w:t xml:space="preserve">   C. Alle DOAC’s remmen vitamine K-afhankelijke stolling  </w:t>
        <w:br/>
        <w:t xml:space="preserve">   D. Alle DOAC’s moeten altijd gecombineerd worden met LMWH</w:t>
      </w:r>
    </w:p>
    <w:p>
      <w:pPr>
        <w:pStyle w:val="ListNumber"/>
      </w:pPr>
      <w:r>
        <w:t>Wat is de gebruikelijke behandelduur bij een eerste trombose-episode met een tijdelijke risicofactor?</w:t>
      </w:r>
    </w:p>
    <w:p>
      <w:r>
        <w:t xml:space="preserve">A. 3 maanden  </w:t>
        <w:br/>
        <w:t xml:space="preserve">   B. 6 maanden  </w:t>
        <w:br/>
        <w:t xml:space="preserve">   C. Onbeperkt, zonder herbeoordeling  </w:t>
        <w:br/>
        <w:t xml:space="preserve">   D. Alleen zolang de klachten aanwezig zijn</w:t>
      </w:r>
    </w:p>
    <w:p>
      <w:pPr>
        <w:pStyle w:val="ListNumber"/>
      </w:pPr>
      <w:r>
        <w:t>Welke combinatie van klachten past het best bij posttrombotisch syndroom?</w:t>
      </w:r>
    </w:p>
    <w:p>
      <w:r>
        <w:t xml:space="preserve">A. Koorts, rillingen en dyspneu  </w:t>
        <w:br/>
        <w:t xml:space="preserve">   B. Pijn, zwaar gevoel, oedeem en hyperpigmentatie  </w:t>
        <w:br/>
        <w:t xml:space="preserve">   C. Alleen bleekheid en koude voeten  </w:t>
        <w:br/>
        <w:t xml:space="preserve">   D. Acute spierzwakte zonder lokale beenklachten</w:t>
      </w:r>
    </w:p>
    <w:p>
      <w:pPr>
        <w:pStyle w:val="ListNumber"/>
      </w:pPr>
      <w:r>
        <w:t>Welke interpretatie van de Villalta-score is juist?</w:t>
      </w:r>
    </w:p>
    <w:p>
      <w:r>
        <w:t xml:space="preserve">A. 0–4 punten = ernstige PTS  </w:t>
        <w:br/>
        <w:t xml:space="preserve">   B. 5–14 punten = geen PTS  </w:t>
        <w:br/>
        <w:t xml:space="preserve">   C. &gt; 15 punten of een ulcus = ernstige PTS  </w:t>
        <w:br/>
        <w:t xml:space="preserve">   D. Alleen de aanwezigheid van pijn telt mee voor de score</w:t>
      </w:r>
    </w:p>
    <w:p>
      <w:pPr>
        <w:pStyle w:val="Heading4"/>
      </w:pPr>
      <w:r>
        <w:t>Antwoorden</w:t>
      </w:r>
    </w:p>
    <w:p>
      <w:pPr>
        <w:pStyle w:val="ListNumber"/>
      </w:pPr>
      <w:r>
        <w:t>B</w:t>
      </w:r>
    </w:p>
    <w:p>
      <w:pPr>
        <w:pStyle w:val="ListNumber"/>
      </w:pPr>
      <w:r>
        <w:t>A</w:t>
      </w:r>
    </w:p>
    <w:p>
      <w:pPr>
        <w:pStyle w:val="ListNumber"/>
      </w:pPr>
      <w:r>
        <w:t>A</w:t>
      </w:r>
    </w:p>
    <w:p>
      <w:pPr>
        <w:pStyle w:val="ListNumber"/>
      </w:pPr>
      <w:r>
        <w:t>C</w:t>
      </w:r>
    </w:p>
    <w:p>
      <w:pPr>
        <w:pStyle w:val="ListNumber"/>
      </w:pPr>
      <w:r>
        <w:t>C</w:t>
      </w:r>
    </w:p>
    <w:p>
      <w:pPr>
        <w:pStyle w:val="ListNumber"/>
      </w:pPr>
      <w:r>
        <w:t>B</w:t>
      </w:r>
    </w:p>
    <w:p>
      <w:pPr>
        <w:pStyle w:val="ListNumber"/>
      </w:pPr>
      <w:r>
        <w:t>B</w:t>
      </w:r>
    </w:p>
    <w:p>
      <w:pPr>
        <w:pStyle w:val="ListNumber"/>
      </w:pPr>
      <w:r>
        <w:t>B</w:t>
      </w:r>
    </w:p>
    <w:p>
      <w:pPr>
        <w:pStyle w:val="ListNumber"/>
      </w:pPr>
      <w:r>
        <w:t>C</w:t>
      </w:r>
    </w:p>
    <w:p>
      <w:pPr>
        <w:pStyle w:val="ListNumber"/>
      </w:pPr>
      <w:r>
        <w:t>C</w:t>
      </w:r>
    </w:p>
    <w:p>
      <w:pPr>
        <w:pStyle w:val="ListNumber"/>
      </w:pPr>
      <w:r>
        <w:t>B</w:t>
      </w:r>
    </w:p>
    <w:p>
      <w:pPr>
        <w:pStyle w:val="ListNumber"/>
      </w:pPr>
      <w:r>
        <w:t>B</w:t>
      </w:r>
    </w:p>
    <w:p>
      <w:pPr>
        <w:pStyle w:val="ListNumber"/>
      </w:pPr>
      <w:r>
        <w:t>A</w:t>
      </w:r>
    </w:p>
    <w:p>
      <w:pPr>
        <w:pStyle w:val="ListNumber"/>
      </w:pPr>
      <w:r>
        <w:t>B</w:t>
      </w:r>
    </w:p>
    <w:p>
      <w:pPr>
        <w:pStyle w:val="ListNumber"/>
      </w:pPr>
      <w:r>
        <w:t>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