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46 – Spectrum auto-inflammatie en auto-immuniteit — oefenvragen</w:t>
      </w:r>
    </w:p>
    <w:p>
      <w:pPr>
        <w:pStyle w:val="ListNumber"/>
      </w:pPr>
      <w:r>
        <w:t>Welke uitspraak past het best bij auto-inflammatie en auto-immuniteit?</w:t>
      </w:r>
    </w:p>
    <w:p>
      <w:r>
        <w:t xml:space="preserve">A. Het zijn volledig losstaande ziektebeelden zonder overlap  </w:t>
        <w:br/>
        <w:t xml:space="preserve">   B. Auto-inflammatie berust vooral op ontregeling van de adaptieve afweer  </w:t>
        <w:br/>
        <w:t xml:space="preserve">   C. Het vormen twee uiteinden van één spectrum met gedeeltelijke overlap  </w:t>
        <w:br/>
        <w:t xml:space="preserve">   D. Auto-immuniteit wordt vooral veroorzaakt door een tekort aan pro-inflammatoire cytokinen</w:t>
      </w:r>
    </w:p>
    <w:p>
      <w:pPr>
        <w:pStyle w:val="ListNumber"/>
      </w:pPr>
      <w:r>
        <w:t>Welke vorm van celdood hoort typisch bij inflammasoomactivatie?</w:t>
      </w:r>
    </w:p>
    <w:p>
      <w:r>
        <w:t xml:space="preserve">A. Pyroptose  </w:t>
        <w:br/>
        <w:t xml:space="preserve">   B. Apoptose  </w:t>
        <w:br/>
        <w:t xml:space="preserve">   C. Ferroptose  </w:t>
        <w:br/>
        <w:t xml:space="preserve">   D. Necrose</w:t>
      </w:r>
    </w:p>
    <w:p>
      <w:pPr>
        <w:pStyle w:val="ListNumber"/>
      </w:pPr>
      <w:r>
        <w:t>Wat is het meest directe gevolg van activatie van het inflammasoom?</w:t>
      </w:r>
    </w:p>
    <w:p>
      <w:r>
        <w:t xml:space="preserve">A. Alleen remming van TNF-α-productie  </w:t>
        <w:br/>
        <w:t xml:space="preserve">   B. Vorming van antistoffen tegen intracellulaire eiwitten  </w:t>
        <w:br/>
        <w:t xml:space="preserve">   C. Vrijzetting van actieve IL-1β en IL-18, met daarnaast pyroptose  </w:t>
        <w:br/>
        <w:t xml:space="preserve">   D. Exclusieve productie van type II interferon</w:t>
      </w:r>
    </w:p>
    <w:p>
      <w:pPr>
        <w:pStyle w:val="ListNumber"/>
      </w:pPr>
      <w:r>
        <w:t>Welke verklaring past het best bij Familiaire Mediterrane Koorts (FMF)?</w:t>
      </w:r>
    </w:p>
    <w:p>
      <w:r>
        <w:t xml:space="preserve">A. Een mutatie in een interferonreceptor met overproductie van type I interferon  </w:t>
        <w:br/>
        <w:t xml:space="preserve">   B. Een mutatie in het MEFV-gen met voortdurende activatie van het pyrine-inflammasoom  </w:t>
        <w:br/>
        <w:t xml:space="preserve">   C. Een defect in NF-kappa-B-remming door verkeerd gevouwen eiwitten  </w:t>
        <w:br/>
        <w:t xml:space="preserve">   D. Een afwijking in plasmacellen met monoklonaal IgM als belangrijkste mechanisme</w:t>
      </w:r>
    </w:p>
    <w:p>
      <w:pPr>
        <w:pStyle w:val="ListNumber"/>
      </w:pPr>
      <w:r>
        <w:t>Waarom heeft een patiënt met FMF niet elke dag dezelfde mate van ontsteking?</w:t>
      </w:r>
    </w:p>
    <w:p>
      <w:r>
        <w:t xml:space="preserve">A. Omdat het pyrine-inflammasoom alleen actief wordt bij virale infecties  </w:t>
        <w:br/>
        <w:t xml:space="preserve">   B. Omdat IL-18 pas wordt aangemaakt na langdurige blokkade van TNF-α  </w:t>
        <w:br/>
        <w:t xml:space="preserve">   C. Omdat de MEFV-mutatie alleen tijdens koortsaanvallen tot expressie komt  </w:t>
        <w:br/>
        <w:t xml:space="preserve">   D. Omdat eerst pro-IL-1β moet worden gevormd na celactivatie door DAMPs voordat het kan worden omgezet in IL-1β</w:t>
      </w:r>
    </w:p>
    <w:p>
      <w:pPr>
        <w:pStyle w:val="ListNumber"/>
      </w:pPr>
      <w:r>
        <w:t>Hoe werkt colchicine bij FMF het best verklaard?</w:t>
      </w:r>
    </w:p>
    <w:p>
      <w:r>
        <w:t xml:space="preserve">A. Het verhoogt de activiteit van RhoA en stimuleert PKN1/2, waardoor het pyrine-inflammasoom geremd wordt  </w:t>
        <w:br/>
        <w:t xml:space="preserve">   B. Het blokkeert direct IL-1β en IL-18 in de circulatie  </w:t>
        <w:br/>
        <w:t xml:space="preserve">   C. Het remt uitsluitend type I interferonproductie  </w:t>
        <w:br/>
        <w:t xml:space="preserve">   D. Het voorkomt neerslag van amyloïd in weefsels</w:t>
      </w:r>
    </w:p>
    <w:p>
      <w:pPr>
        <w:pStyle w:val="ListNumber"/>
      </w:pPr>
      <w:r>
        <w:t>Welke situatie geeft vooral een toename van type I interferon?</w:t>
      </w:r>
    </w:p>
    <w:p>
      <w:r>
        <w:t xml:space="preserve">A. Een ziektebeeld met overmatige TNF-α-productie  </w:t>
        <w:br/>
        <w:t xml:space="preserve">   B. Een virale infectie waarbij MDA-5 en RIG-I intracellulair RNA herkennen  </w:t>
        <w:br/>
        <w:t xml:space="preserve">   C. Een bacteriële infectie waarbij vooral IFN-gamma nodig is  </w:t>
        <w:br/>
        <w:t xml:space="preserve">   D. Een inflammasomopathie met continu actief pyrine</w:t>
      </w:r>
    </w:p>
    <w:p>
      <w:pPr>
        <w:pStyle w:val="ListNumber"/>
      </w:pPr>
      <w:r>
        <w:t>Welke uitspraak over interferon-gamma is het meest juist?</w:t>
      </w:r>
    </w:p>
    <w:p>
      <w:r>
        <w:t xml:space="preserve">A. Het speelt vooral een rol bij virale infecties en herkenning door MDA-5  </w:t>
        <w:br/>
        <w:t xml:space="preserve">   B. Het wordt vooral genoemd bij auto-inflammatoire aandoeningen met NLRP3-activatie  </w:t>
        <w:br/>
        <w:t xml:space="preserve">   C. Het is belangrijk bij tuberculose en andere intracellulaire pathogenen; een tekort geeft ernstige mycobacteriële infecties  </w:t>
        <w:br/>
        <w:t xml:space="preserve">   D. Het is het belangrijkste cytokine bij FMF</w:t>
      </w:r>
    </w:p>
    <w:p>
      <w:pPr>
        <w:pStyle w:val="ListNumber"/>
      </w:pPr>
      <w:r>
        <w:t>Welke aandoening past het best bij een verworven auto-inflammatoir beeld?</w:t>
      </w:r>
    </w:p>
    <w:p>
      <w:r>
        <w:t xml:space="preserve">A. Schnitzler-syndroom met monoklonaal IgM en waarschijnlijk NLRP3-activatie  </w:t>
        <w:br/>
        <w:t xml:space="preserve">   B. Aicardi-Goutières syndroom met een aangeboren defect in DNA/RNA-sensing  </w:t>
        <w:br/>
        <w:t xml:space="preserve">   C. SAVI met overmatige type I interferonproductie door een erfelijke mutatie  </w:t>
        <w:br/>
        <w:t xml:space="preserve">   D. FMF met een MEFV-mutatie en pyrine-inflammasoomactivatie</w:t>
      </w:r>
    </w:p>
    <w:p>
      <w:pPr>
        <w:pStyle w:val="ListNumber"/>
      </w:pPr>
      <w:r>
        <w:t>Wat past het best bij een endoplasmatisch reticulum stress syndroom?</w:t>
      </w:r>
    </w:p>
    <w:p>
      <w:r>
        <w:t xml:space="preserve">A. Een stoornis waarbij vooral extracellulaire bacteriën type II interferon induceren  </w:t>
        <w:br/>
        <w:t xml:space="preserve">    B. Verkeerd gevouwen eiwitten in het ER, UPR-activatie via IRE1α, PERK en ATF6, met activatie van meerdere ontstekingsroutes  </w:t>
        <w:br/>
        <w:t xml:space="preserve">    C. Exclusieve overactivatie van het pyrine-inflammasoom door een MEFV-mutatie  </w:t>
        <w:br/>
        <w:t xml:space="preserve">    D. Een ziektebeeld dat alleen door anti-TNF-behandeling wordt verklaard</w:t>
      </w:r>
    </w:p>
    <w:p>
      <w:pPr>
        <w:pStyle w:val="ListNumber"/>
      </w:pPr>
      <w:r>
        <w:t>Welke combinatie past het best bij TRAPS?</w:t>
      </w:r>
    </w:p>
    <w:p>
      <w:r>
        <w:t xml:space="preserve">A. Korte koortsaanvallen, serositis en een primaire IL-18-overproductie  </w:t>
        <w:br/>
        <w:t xml:space="preserve">    B. Een plasmacelziekte met monoklonaal IgM en amyloïdose  </w:t>
        <w:br/>
        <w:t xml:space="preserve">    C. Een pure interferonopathie waarbij vooral type II interferon verhoogd is  </w:t>
        <w:br/>
        <w:t xml:space="preserve">    D. Koortsaanvallen en huidafwijkingen die vaak langer duren dan bij FMF, waarbij etanercept niet het meest mechanismegerichte antwoord is</w:t>
      </w:r>
    </w:p>
    <w:p>
      <w:pPr>
        <w:pStyle w:val="ListNumber"/>
      </w:pPr>
      <w:r>
        <w:t>Welke combinatie past het best bij een relopathy?</w:t>
      </w:r>
    </w:p>
    <w:p>
      <w:r>
        <w:t xml:space="preserve">A. Overactivatie van NF-kappa-B met verhoogd IL-1β, IL-6, IL-18 en TNF-α  </w:t>
        <w:br/>
        <w:t xml:space="preserve">    B. Overmatige type I interferonproductie door intracellulaire DNA-sensing  </w:t>
        <w:br/>
        <w:t xml:space="preserve">    C. Continu geactiveerd pyrine-inflammasoom door RhoA-remming  </w:t>
        <w:br/>
        <w:t xml:space="preserve">    D. Ontsteking door misgevouwen eiwitten in het ER met UPR-activatie</w:t>
      </w:r>
    </w:p>
    <w:p>
      <w:pPr>
        <w:pStyle w:val="ListNumber"/>
      </w:pPr>
      <w:r>
        <w:t>Welke klinische combinatie past het best bij de ziekte van Behçet?</w:t>
      </w:r>
    </w:p>
    <w:p>
      <w:r>
        <w:t xml:space="preserve">A. Sterke pathergie, huid- en mucosale afwijkingen, en vaak goede respons op anti-TNF  </w:t>
        <w:br/>
        <w:t xml:space="preserve">    B. Alleen serositis en amyloïdose zonder huidafwijkingen  </w:t>
        <w:br/>
        <w:t xml:space="preserve">    C. Vooral ernstige mycobacteriële infecties door interferon-gamma-tekort  </w:t>
        <w:br/>
        <w:t xml:space="preserve">    D. Monoklonaal IgM met NLRP3-activatie in plasmacellen</w:t>
      </w:r>
    </w:p>
    <w:p>
      <w:pPr>
        <w:pStyle w:val="ListNumber"/>
      </w:pPr>
      <w:r>
        <w:t>Welke match tussen inflammasoom en prikkel/ziektebeeld is juist?</w:t>
      </w:r>
    </w:p>
    <w:p>
      <w:r>
        <w:t xml:space="preserve">A. NLRP3 – vooral gram-negatieve bacteriën zoals Salmonella  </w:t>
        <w:br/>
        <w:t xml:space="preserve">    B. NLRC4 – vooral gram-positieve bacteriën zoals Staphylococcus aureus  </w:t>
        <w:br/>
        <w:t xml:space="preserve">    C. Pyrine-inflammasoom – activatie door een toename van intracellulaire RhoA-activiteit  </w:t>
        <w:br/>
        <w:t xml:space="preserve">    D. NLRC4 – vooral gram-negatieve bacteriën zoals Salmonella, Legionella en Shigella</w:t>
      </w:r>
    </w:p>
    <w:p>
      <w:pPr>
        <w:pStyle w:val="ListNumber"/>
      </w:pPr>
      <w:r>
        <w:t>Wanneer zijn MDA-5 en RIG-I het meest relevant?</w:t>
      </w:r>
    </w:p>
    <w:p>
      <w:r>
        <w:t xml:space="preserve">A. Bij herkenning van intracellulair RNA/DNA en start van type I interferonproductie  </w:t>
        <w:br/>
        <w:t xml:space="preserve">    B. Bij remming van NF-kappa-B in relopathy  </w:t>
        <w:br/>
        <w:t xml:space="preserve">    C. Bij omzetting van pro-IL-1β in IL-18  </w:t>
        <w:br/>
        <w:t xml:space="preserve">    D. Bij vorming van amyloïd in FMF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