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 – Glomerulaire en tubulaire nierziekten</w:t>
      </w:r>
    </w:p>
    <w:p>
      <w:pPr>
        <w:pStyle w:val="Heading4"/>
      </w:pPr>
      <w:r>
        <w:t>Leerdoelen</w:t>
      </w:r>
    </w:p>
    <w:p>
      <w:pPr>
        <w:pStyle w:val="ListBullet"/>
      </w:pPr>
      <w:r>
        <w:t>De drie meest gebruikte onderzoekstechnieken van het nierbiopt beschrijven.</w:t>
      </w:r>
    </w:p>
    <w:p>
      <w:pPr>
        <w:pStyle w:val="ListBullet"/>
      </w:pPr>
      <w:r>
        <w:t>Glomerulosclerose, tubulaire atrofie en crescentische glomerulonefritis herkennen in het nierbiopt.</w:t>
      </w:r>
    </w:p>
    <w:p>
      <w:pPr>
        <w:pStyle w:val="Heading4"/>
      </w:pPr>
      <w:r>
        <w:t>Waarom het nierbiopt belangrijk is</w:t>
      </w:r>
    </w:p>
    <w:p>
      <w:r>
        <w:t>Een nierbiopt is een belangrijk onderdeel van de aanvullende diagnostiek bij het zoeken naar de oorzaak van een nierziekte. Het gaat hier niet om een biopt uit een macroscopisch afwijkende nier, vaak een tumoreuze afwijking, maar om onderzoek van nierweefsel zelf. De patholoog beoordeelt het biopt op afwijkende schadepatronen, ook wel laesies genoemd, en op aanwijzingen voor de onderliggende ziekteprocessen. Dat is klinisch heel relevant, omdat een nierbiopt in ongeveer een derde van de gevallen tot een andere diagnose leidt dan vooraf werd verwacht.</w:t>
      </w:r>
    </w:p>
    <w:p>
      <w:r>
        <w:t>De patholoog kijkt dus niet alleen naar wat er beschadigd is, maar ook naar welk ziekteproces daarachter zit. Als er bijvoorbeeld ontsteking in de glomeruli aanwezig is, kan aanvullend onderzoek zoals immunofluorescentie laten zien of immuuncomplexen de schade veroorzaken. Afhankelijk van de praktijk komt de patholoog in ongeveer de helft van de gevallen zelfs tot een classificerende diagnose, bijvoorbeeld afstoting van een niertransplantaat. Niet elke laesie is echter specifiek voor een bepaalde nier- of systeemziekte, dus kliniek en histologie moeten samen worden bekeken. Daarom is goede samenwerking tussen patholoog en behandelaar essentieel. Het nierbiopt geeft informatie over de diagnose, de ziekteactiviteit, de mate van irreversibele schade, zoals fibrose, de prognose en mogelijke aanknopingspunten voor behandeling.</w:t>
      </w:r>
    </w:p>
    <w:p>
      <w:r>
        <w:rPr>
          <w:b/>
        </w:rPr>
        <w:t>Aandacht-vragetje:</w:t>
      </w:r>
      <w:r>
        <w:t xml:space="preserve"> Waarom is de afstemming tussen patholoog en behandelaar zo belangrijk?  </w:t>
        <w:br/>
        <w:t>*Kort antwoord:* Omdat niet elke laesie specifiek is en klinische en histopathologische gegevens samen moeten worden geïnterpreteerd.</w:t>
      </w:r>
    </w:p>
    <w:p>
      <w:pPr>
        <w:pStyle w:val="Heading4"/>
      </w:pPr>
      <w:r>
        <w:t>Van afname tot verwerking</w:t>
      </w:r>
    </w:p>
    <w:p>
      <w:r>
        <w:t>Na afname door de nefroloog of radioloog moet het weefsel, vaak niet groter dan een luciferhoutje, zo snel mogelijk vers bij de patholoog aankomen. Het materiaal mag niet in formaline worden gefixeerd, omdat immunofluorescentie en elektronenmicroscopie dan niet meer mogelijk zijn. De patholoog verdeelt het materiaal in meerdere secties, zodat elk deel voor een andere techniek gebruikt kan worden.</w:t>
      </w:r>
    </w:p>
    <w:p>
      <w:r>
        <w:rPr>
          <w:b/>
        </w:rPr>
        <w:t>Tabel 1. De drie onderzoekstechnieken van het nierbiopt</w:t>
      </w:r>
    </w:p>
    <w:tbl>
      <w:tblPr>
        <w:tblStyle w:val="TableGrid"/>
        <w:tblW w:type="auto" w:w="0"/>
        <w:tblLook w:firstColumn="1" w:firstRow="1" w:lastColumn="0" w:lastRow="0" w:noHBand="0" w:noVBand="1" w:val="04A0"/>
      </w:tblPr>
      <w:tblGrid>
        <w:gridCol w:w="2880"/>
        <w:gridCol w:w="2880"/>
        <w:gridCol w:w="2880"/>
      </w:tblGrid>
      <w:tr>
        <w:tc>
          <w:tcPr>
            <w:tcW w:type="dxa" w:w="2880"/>
          </w:tcPr>
          <w:p>
            <w:r>
              <w:t>Techniek</w:t>
            </w:r>
          </w:p>
        </w:tc>
        <w:tc>
          <w:tcPr>
            <w:tcW w:type="dxa" w:w="2880"/>
          </w:tcPr>
          <w:p>
            <w:r>
              <w:t>Wat wordt onderzocht?</w:t>
            </w:r>
          </w:p>
        </w:tc>
        <w:tc>
          <w:tcPr>
            <w:tcW w:type="dxa" w:w="2880"/>
          </w:tcPr>
          <w:p>
            <w:r>
              <w:t>Belangrijkste opbrengst</w:t>
            </w:r>
          </w:p>
        </w:tc>
      </w:tr>
      <w:tr>
        <w:tc>
          <w:tcPr>
            <w:tcW w:type="dxa" w:w="2880"/>
          </w:tcPr>
          <w:p>
            <w:r>
              <w:t>Lichtmicroscopie</w:t>
            </w:r>
          </w:p>
        </w:tc>
        <w:tc>
          <w:tcPr>
            <w:tcW w:type="dxa" w:w="2880"/>
          </w:tcPr>
          <w:p>
            <w:r>
              <w:t>Algemene structuur van het nierweefsel met verschillende kleuringen</w:t>
            </w:r>
          </w:p>
        </w:tc>
        <w:tc>
          <w:tcPr>
            <w:tcW w:type="dxa" w:w="2880"/>
          </w:tcPr>
          <w:p>
            <w:r>
              <w:t>Schadepatronen en laesies beoordelen</w:t>
            </w:r>
          </w:p>
        </w:tc>
      </w:tr>
      <w:tr>
        <w:tc>
          <w:tcPr>
            <w:tcW w:type="dxa" w:w="2880"/>
          </w:tcPr>
          <w:p>
            <w:r>
              <w:t>Immunofluorescentie (IF) en immunohistochemie (IHC)</w:t>
            </w:r>
          </w:p>
        </w:tc>
        <w:tc>
          <w:tcPr>
            <w:tcW w:type="dxa" w:w="2880"/>
          </w:tcPr>
          <w:p>
            <w:r>
              <w:t>Antilichamen tegen specifieke eiwitten of antigenen</w:t>
            </w:r>
          </w:p>
        </w:tc>
        <w:tc>
          <w:tcPr>
            <w:tcW w:type="dxa" w:w="2880"/>
          </w:tcPr>
          <w:p>
            <w:r>
              <w:t>Immuuncomplexen, complement, transplantatie- of virusmarkers en celtypen aantonen</w:t>
            </w:r>
          </w:p>
        </w:tc>
      </w:tr>
      <w:tr>
        <w:tc>
          <w:tcPr>
            <w:tcW w:type="dxa" w:w="2880"/>
          </w:tcPr>
          <w:p>
            <w:r>
              <w:t>Elektronenmicroscopie (EM)</w:t>
            </w:r>
          </w:p>
        </w:tc>
        <w:tc>
          <w:tcPr>
            <w:tcW w:type="dxa" w:w="2880"/>
          </w:tcPr>
          <w:p>
            <w:r>
              <w:t>Ultrastructuur met zeer hoge resolutie</w:t>
            </w:r>
          </w:p>
        </w:tc>
        <w:tc>
          <w:tcPr>
            <w:tcW w:type="dxa" w:w="2880"/>
          </w:tcPr>
          <w:p>
            <w:r>
              <w:t>Zeer kleine afwijkingen zichtbaar maken, vooral in fibrillen en basaalmembranen</w:t>
            </w:r>
          </w:p>
        </w:tc>
      </w:tr>
    </w:tbl>
    <w:p>
      <w:r>
        <w:t>In de praktijk vullen deze technieken elkaar aan: elk onderzoek laat een ander deel van de puzzel zien.</w:t>
      </w:r>
    </w:p>
    <w:p>
      <w:r>
        <w:rPr>
          <w:b/>
        </w:rPr>
        <w:t>Aandacht-vragetje:</w:t>
      </w:r>
      <w:r>
        <w:t xml:space="preserve"> Waarom mag het nierbiopt niet in formaline worden gefixeerd?  </w:t>
        <w:br/>
        <w:t>*Kort antwoord:* Omdat immunofluorescentie en elektronenmicroscopie dan niet meer mogelijk zijn.</w:t>
      </w:r>
    </w:p>
    <w:p>
      <w:pPr>
        <w:pStyle w:val="Heading4"/>
      </w:pPr>
      <w:r>
        <w:t>Lichtmicroscopie</w:t>
      </w:r>
    </w:p>
    <w:p>
      <w:r>
        <w:t>Lichtmicroscopie is het standaardonderzoek van nierweefsel om schadepatronen vast te stellen. Met verschillende kleuringen worden verschillende aspecten van het nierweefsel zichtbaar. De belangrijkste kleuringen bij een nierbiopt zijn PAS, Jones, HE en speciale kleuringen.</w:t>
      </w:r>
    </w:p>
    <w:p>
      <w:r>
        <w:rPr>
          <w:b/>
        </w:rPr>
        <w:t>Tabel 2. Belangrijke kleuringen bij lichtmicroscopie</w:t>
      </w:r>
    </w:p>
    <w:tbl>
      <w:tblPr>
        <w:tblStyle w:val="TableGrid"/>
        <w:tblW w:type="auto" w:w="0"/>
        <w:tblLook w:firstColumn="1" w:firstRow="1" w:lastColumn="0" w:lastRow="0" w:noHBand="0" w:noVBand="1" w:val="04A0"/>
      </w:tblPr>
      <w:tblGrid>
        <w:gridCol w:w="2880"/>
        <w:gridCol w:w="2880"/>
        <w:gridCol w:w="2880"/>
      </w:tblGrid>
      <w:tr>
        <w:tc>
          <w:tcPr>
            <w:tcW w:type="dxa" w:w="2880"/>
          </w:tcPr>
          <w:p>
            <w:r>
              <w:t>Kleuring</w:t>
            </w:r>
          </w:p>
        </w:tc>
        <w:tc>
          <w:tcPr>
            <w:tcW w:type="dxa" w:w="2880"/>
          </w:tcPr>
          <w:p>
            <w:r>
              <w:t>Wat kleurt het aan?</w:t>
            </w:r>
          </w:p>
        </w:tc>
        <w:tc>
          <w:tcPr>
            <w:tcW w:type="dxa" w:w="2880"/>
          </w:tcPr>
          <w:p>
            <w:r>
              <w:t>Praktisch nut</w:t>
            </w:r>
          </w:p>
        </w:tc>
      </w:tr>
      <w:tr>
        <w:tc>
          <w:tcPr>
            <w:tcW w:type="dxa" w:w="2880"/>
          </w:tcPr>
          <w:p>
            <w:r>
              <w:t>PAS</w:t>
            </w:r>
          </w:p>
        </w:tc>
        <w:tc>
          <w:tcPr>
            <w:tcW w:type="dxa" w:w="2880"/>
          </w:tcPr>
          <w:p>
            <w:r>
              <w:t>Polysacchariden, zoals glycogeen, en mucosubstanties, zoals glycoproteïnen, glycolipiden en mucinen; vaak met een geschikte basische tegenkleuring</w:t>
            </w:r>
          </w:p>
        </w:tc>
        <w:tc>
          <w:tcPr>
            <w:tcW w:type="dxa" w:w="2880"/>
          </w:tcPr>
          <w:p>
            <w:r>
              <w:t>Basaalmembranen en celkernen duidelijk zichtbaar maken</w:t>
            </w:r>
          </w:p>
        </w:tc>
      </w:tr>
      <w:tr>
        <w:tc>
          <w:tcPr>
            <w:tcW w:type="dxa" w:w="2880"/>
          </w:tcPr>
          <w:p>
            <w:r>
              <w:t>Jones</w:t>
            </w:r>
          </w:p>
        </w:tc>
        <w:tc>
          <w:tcPr>
            <w:tcW w:type="dxa" w:w="2880"/>
          </w:tcPr>
          <w:p>
            <w:r>
              <w:t>Methenamine zilver; werkt vergelijkbaar met PAS</w:t>
            </w:r>
          </w:p>
        </w:tc>
        <w:tc>
          <w:tcPr>
            <w:tcW w:type="dxa" w:w="2880"/>
          </w:tcPr>
          <w:p>
            <w:r>
              <w:t>Basaalmembraan intens zwart zichtbaar maken</w:t>
            </w:r>
          </w:p>
        </w:tc>
      </w:tr>
      <w:tr>
        <w:tc>
          <w:tcPr>
            <w:tcW w:type="dxa" w:w="2880"/>
          </w:tcPr>
          <w:p>
            <w:r>
              <w:t>HE</w:t>
            </w:r>
          </w:p>
        </w:tc>
        <w:tc>
          <w:tcPr>
            <w:tcW w:type="dxa" w:w="2880"/>
          </w:tcPr>
          <w:p>
            <w:r>
              <w:t>Hematoxyline kleurt basofiele structuren blauwpaars, vooral DNA en dus celkernen; eosine kleurt eosinofiele structuren rood, vaak eiwitten</w:t>
            </w:r>
          </w:p>
        </w:tc>
        <w:tc>
          <w:tcPr>
            <w:tcW w:type="dxa" w:w="2880"/>
          </w:tcPr>
          <w:p>
            <w:r>
              <w:t>Standaardkleuring voor het algemene beeld en voor het herkennen van verschillende celtypen</w:t>
            </w:r>
          </w:p>
        </w:tc>
      </w:tr>
      <w:tr>
        <w:tc>
          <w:tcPr>
            <w:tcW w:type="dxa" w:w="2880"/>
          </w:tcPr>
          <w:p>
            <w:r>
              <w:t>Speciale kleuringen</w:t>
            </w:r>
          </w:p>
        </w:tc>
        <w:tc>
          <w:tcPr>
            <w:tcW w:type="dxa" w:w="2880"/>
          </w:tcPr>
          <w:p>
            <w:r>
              <w:t>Afhankelijk van de klinische context</w:t>
            </w:r>
          </w:p>
        </w:tc>
        <w:tc>
          <w:tcPr>
            <w:tcW w:type="dxa" w:w="2880"/>
          </w:tcPr>
          <w:p>
            <w:r>
              <w:t>Bijvoorbeeld Masson’s trichrome of Sirius Rood voor fibrose, PTAH voor fibrine en Congo rood voor amyloïd</w:t>
            </w:r>
          </w:p>
        </w:tc>
      </w:tr>
    </w:tbl>
    <w:p>
      <w:r>
        <w:t>PAS en Jones richten zich vooral op de basaalmembranen. Dat is belangrijk, omdat de basaalmembraan in veel nierziekten goed beoordeeld moet worden. HE is de standaardkleuring in de pathologie en helpt vooral om het algemene beeld en verschillende cellen te herkennen. Basofiel betekent blauwpaars; eosinofiel betekent roze tot rood. Een groot deel van het cytoplasma kleurt eosinofiel.</w:t>
      </w:r>
    </w:p>
    <w:p>
      <w:pPr>
        <w:pStyle w:val="Heading4"/>
      </w:pPr>
      <w:r>
        <w:t>Immunofluorescentie en immunohistochemie</w:t>
      </w:r>
    </w:p>
    <w:p>
      <w:r>
        <w:t>Immunofluorescentie en immunohistochemie gebruiken antilichamen om specifieke eiwitten te detecteren. Dat is cruciaal voor de diagnostiek van allerlei specifieke processen, vooral immuungemedieerde nierziekten. Beide technieken werken dus met gericht aangrijpen op een doelantigeen in het biopt, maar de manier waarop je het signaal ziet is anders.</w:t>
      </w:r>
    </w:p>
    <w:p>
      <w:r>
        <w:t>Bij IF worden antilichamen voorzien van een fluorescerende marker, een fluorochroom, zoals fluoresceïne-isothiocyanaat (FITC). Deze gelabelde antilichamen binden aan specifieke doelantigenen, bijvoorbeeld immuuncomplexen, die aanwezig zijn in het nierbiopt. Als het preparaat onder een fluorescentiemicroscoop wordt bekeken, lichten de gebonden gebieden op. Daardoor zie je de aanwezigheid, locatie en het patroon van immuunafzettingen. IF wordt vooral gebruikt om immunoglobulinen, zoals IgA, IgG en IgM, of delen daarvan, zoals lambda- en kappa-ketens, en complementeiwitten, zoals C1q en C3c, aan te tonen.</w:t>
      </w:r>
    </w:p>
    <w:p>
      <w:r>
        <w:t>Bij IHC worden antilichamen zichtbaar gemaakt met een chromogeen, zoals DAB. Ook hier binden de gelabelde antilichamen aan specifieke doelantigenen die in het nierbiopt aanwezig zijn. Deze techniek wordt vooral gebruikt bij niertransplantatiebiopten om complementfactor C4d aan te tonen, wat wijst op antistoffen gericht tegen de donor. Ook kan IHC worden gebruikt om het SV40-antigeen aan te tonen, om polyomavirus zichtbaar te maken. Daarnaast wordt IHC gebruikt om specifieke immuuncellen te onderscheiden, bijvoorbeeld T-cellen met CD3 en B-cellen met CD20.</w:t>
      </w:r>
    </w:p>
    <w:p>
      <w:r>
        <w:rPr>
          <w:b/>
        </w:rPr>
        <w:t>Tabel 3. Immunofluorescentie en immunohistochemie vergeleken</w:t>
      </w:r>
    </w:p>
    <w:tbl>
      <w:tblPr>
        <w:tblStyle w:val="TableGrid"/>
        <w:tblW w:type="auto" w:w="0"/>
        <w:tblLook w:firstColumn="1" w:firstRow="1" w:lastColumn="0" w:lastRow="0" w:noHBand="0" w:noVBand="1" w:val="04A0"/>
      </w:tblPr>
      <w:tblGrid>
        <w:gridCol w:w="2880"/>
        <w:gridCol w:w="2880"/>
        <w:gridCol w:w="2880"/>
      </w:tblGrid>
      <w:tr>
        <w:tc>
          <w:tcPr>
            <w:tcW w:type="dxa" w:w="2880"/>
          </w:tcPr>
          <w:p>
            <w:r>
              <w:t>Techniek</w:t>
            </w:r>
          </w:p>
        </w:tc>
        <w:tc>
          <w:tcPr>
            <w:tcW w:type="dxa" w:w="2880"/>
          </w:tcPr>
          <w:p>
            <w:r>
              <w:t>Marker of signaal</w:t>
            </w:r>
          </w:p>
        </w:tc>
        <w:tc>
          <w:tcPr>
            <w:tcW w:type="dxa" w:w="2880"/>
          </w:tcPr>
          <w:p>
            <w:r>
              <w:t>Typische toepassing</w:t>
            </w:r>
          </w:p>
        </w:tc>
      </w:tr>
      <w:tr>
        <w:tc>
          <w:tcPr>
            <w:tcW w:type="dxa" w:w="2880"/>
          </w:tcPr>
          <w:p>
            <w:r>
              <w:t>IF</w:t>
            </w:r>
          </w:p>
        </w:tc>
        <w:tc>
          <w:tcPr>
            <w:tcW w:type="dxa" w:w="2880"/>
          </w:tcPr>
          <w:p>
            <w:r>
              <w:t>Fluorochroom, bijvoorbeeld FITC</w:t>
            </w:r>
          </w:p>
        </w:tc>
        <w:tc>
          <w:tcPr>
            <w:tcW w:type="dxa" w:w="2880"/>
          </w:tcPr>
          <w:p>
            <w:r>
              <w:t>Immunoglobulinen, complement en immuuncomplexen zichtbaar maken</w:t>
            </w:r>
          </w:p>
        </w:tc>
      </w:tr>
      <w:tr>
        <w:tc>
          <w:tcPr>
            <w:tcW w:type="dxa" w:w="2880"/>
          </w:tcPr>
          <w:p>
            <w:r>
              <w:t>IHC</w:t>
            </w:r>
          </w:p>
        </w:tc>
        <w:tc>
          <w:tcPr>
            <w:tcW w:type="dxa" w:w="2880"/>
          </w:tcPr>
          <w:p>
            <w:r>
              <w:t>Chromogeen, bijvoorbeeld DAB</w:t>
            </w:r>
          </w:p>
        </w:tc>
        <w:tc>
          <w:tcPr>
            <w:tcW w:type="dxa" w:w="2880"/>
          </w:tcPr>
          <w:p>
            <w:r>
              <w:t>C4d in transplantbiopten, SV40, en celmarkers zoals CD3 en CD20</w:t>
            </w:r>
          </w:p>
        </w:tc>
      </w:tr>
    </w:tbl>
    <w:p>
      <w:r>
        <w:t>Een fluorochroom geeft dus een lichtsignaal onder de fluorescentiemicroscoop, terwijl een chromogeen een zichtbare kleurreactie geeft. Dat maakt IF en IHC verwant, maar wel net verschillend in aflezing.</w:t>
      </w:r>
    </w:p>
    <w:p>
      <w:r>
        <w:rPr>
          <w:b/>
        </w:rPr>
        <w:t>Aandacht-vragetje:</w:t>
      </w:r>
      <w:r>
        <w:t xml:space="preserve"> Wat is een groot voordeel van IF?  </w:t>
        <w:br/>
        <w:t>*Kort antwoord:* Het is extreem gevoelig en de hoeveelheid eiwit kan grof worden geclassificeerd van afwezig tot ernstig.</w:t>
      </w:r>
    </w:p>
    <w:p>
      <w:pPr>
        <w:pStyle w:val="Heading4"/>
      </w:pPr>
      <w:r>
        <w:t>Elektronenmicroscopie</w:t>
      </w:r>
    </w:p>
    <w:p>
      <w:r>
        <w:t>Elektronenmicroscopie komt helemaal aan het eind. Deze techniek biedt een hoge resolutie, ongeveer 10.000x vergroting, en laat ultrastructueel detail van nierweefsel zien. Ultrastructuur betekent de allerfijnste bouwdetails van cellen en membranen. EM is een aanvulling op de bevindingen bij lichtmicroscopie en wordt beschouwd als essentieel voor een volledige beoordeling.</w:t>
      </w:r>
    </w:p>
    <w:p>
      <w:r>
        <w:t>Elektronenmicroscopie maakt gebruik van een bundel versnelde elektronen om monsters met hoge vergroting en resolutie te visualiseren. Daardoor zijn details zichtbaar die ver voorbij de mogelijkheden van traditionele lichtmicroscopie liggen. De belangrijkste technieken zijn transmissie-elektronenmicroscopie (TEM) en scanning-elektronenmicroscopie (SEM). EM is van essentieel belang om bepaalde minuscuul kleine afwijkingen aan te tonen, bijvoorbeeld kleine fibrillen bij amyloïd, metabole afwijkingen zoals morbus Fabry, of structurele afwijkingen aan de basaalmembranen, bijvoorbeeld morbus Alport.</w:t>
      </w:r>
    </w:p>
    <w:p>
      <w:pPr>
        <w:pStyle w:val="Heading4"/>
      </w:pPr>
      <w:r>
        <w:t>Belangrijke laesies om te herkennen</w:t>
      </w:r>
    </w:p>
    <w:p>
      <w:r>
        <w:t>Naast de technieken moet je drie laesies kunnen herkennen in het nierbiopt, namelijk glomerulosclerose, tubulaire atrofie en crescentische glomerulonefritis. Deze patronen worden vooral op lichtmicroscopie beoordeeld.</w:t>
      </w:r>
    </w:p>
    <w:p>
      <w:r>
        <w:rPr>
          <w:b/>
        </w:rPr>
        <w:t>Tabel 4. Drie laesies om te herkennen in het nierbiopt</w:t>
      </w:r>
    </w:p>
    <w:tbl>
      <w:tblPr>
        <w:tblStyle w:val="TableGrid"/>
        <w:tblW w:type="auto" w:w="0"/>
        <w:tblLook w:firstColumn="1" w:firstRow="1" w:lastColumn="0" w:lastRow="0" w:noHBand="0" w:noVBand="1" w:val="04A0"/>
      </w:tblPr>
      <w:tblGrid>
        <w:gridCol w:w="4320"/>
        <w:gridCol w:w="4320"/>
      </w:tblGrid>
      <w:tr>
        <w:tc>
          <w:tcPr>
            <w:tcW w:type="dxa" w:w="4320"/>
          </w:tcPr>
          <w:p>
            <w:r>
              <w:t>Laesie</w:t>
            </w:r>
          </w:p>
        </w:tc>
        <w:tc>
          <w:tcPr>
            <w:tcW w:type="dxa" w:w="4320"/>
          </w:tcPr>
          <w:p>
            <w:r>
              <w:t>Herkenningspunt in het biopt</w:t>
            </w:r>
          </w:p>
        </w:tc>
      </w:tr>
      <w:tr>
        <w:tc>
          <w:tcPr>
            <w:tcW w:type="dxa" w:w="4320"/>
          </w:tcPr>
          <w:p>
            <w:r>
              <w:t>Glomerulosclerose</w:t>
            </w:r>
          </w:p>
        </w:tc>
        <w:tc>
          <w:tcPr>
            <w:tcW w:type="dxa" w:w="4320"/>
          </w:tcPr>
          <w:p>
            <w:r>
              <w:t>Sclerose van de glomerulus</w:t>
            </w:r>
          </w:p>
        </w:tc>
      </w:tr>
      <w:tr>
        <w:tc>
          <w:tcPr>
            <w:tcW w:type="dxa" w:w="4320"/>
          </w:tcPr>
          <w:p>
            <w:r>
              <w:t>Tubulaire atrofie</w:t>
            </w:r>
          </w:p>
        </w:tc>
        <w:tc>
          <w:tcPr>
            <w:tcW w:type="dxa" w:w="4320"/>
          </w:tcPr>
          <w:p>
            <w:r>
              <w:t>Atrofie van de tubuli</w:t>
            </w:r>
          </w:p>
        </w:tc>
      </w:tr>
      <w:tr>
        <w:tc>
          <w:tcPr>
            <w:tcW w:type="dxa" w:w="4320"/>
          </w:tcPr>
          <w:p>
            <w:r>
              <w:t>Crescentische glomerulonefritis</w:t>
            </w:r>
          </w:p>
        </w:tc>
        <w:tc>
          <w:tcPr>
            <w:tcW w:type="dxa" w:w="4320"/>
          </w:tcPr>
          <w:p>
            <w:r>
              <w:t>Halfmaanvorming in de glomerulus</w:t>
            </w:r>
          </w:p>
        </w:tc>
      </w:tr>
    </w:tbl>
    <w:p>
      <w:r>
        <w:t>Dit zijn belangrijke schadepatronen die je in het nierbiopt moet kunnen benoemen.</w:t>
      </w:r>
    </w:p>
    <w:p>
      <w:pPr>
        <w:pStyle w:val="Heading4"/>
      </w:pPr>
      <w:r>
        <w:t>Samenvatting</w:t>
      </w:r>
    </w:p>
    <w:p>
      <w:r>
        <w:t>Het nierbiopt is een sleutelonderzoek bij glomerulaire en tubulaire nierziekten. Lichtmicroscopie laat de algemene schadepatronen zien met verschillende kleuringen, IF en IHC tonen eiwitten, immuuncomplexen en specifieke markers, en EM laat de ultrastructuur zien. Door deze technieken samen te gebruiken en de bevindingen te koppelen aan de kliniek, kun je glomerulosclerose, tubulaire atrofie en crescentische glomerulonefritis herkennen en krijg je informatie over diagnose, activiteit, fibrose, prognose en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