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10 – Nierfunctievervangende therapie</w:t>
      </w:r>
    </w:p>
    <w:p>
      <w:pPr>
        <w:pStyle w:val="Heading4"/>
      </w:pPr>
      <w:r>
        <w:t>Leerdoelen</w:t>
      </w:r>
    </w:p>
    <w:p>
      <w:r>
        <w:t>Na het bestuderen van deze verdieping moet je in staat zijn om:</w:t>
      </w:r>
    </w:p>
    <w:p>
      <w:pPr>
        <w:pStyle w:val="ListBullet"/>
      </w:pPr>
      <w:r>
        <w:t>de meest voorkomende complicaties van niertransplantatie te benoemen, zowel op korte als op lange termijn;</w:t>
      </w:r>
    </w:p>
    <w:p>
      <w:pPr>
        <w:pStyle w:val="ListBullet"/>
      </w:pPr>
      <w:r>
        <w:t>de risico’s van zwangerschap na niertransplantatie te beschrijven;</w:t>
      </w:r>
    </w:p>
    <w:p>
      <w:pPr>
        <w:pStyle w:val="ListBullet"/>
      </w:pPr>
      <w:r>
        <w:t>de basisprincipes van dialysebehandeling op de intensive care uit te leggen.</w:t>
      </w:r>
    </w:p>
    <w:p>
      <w:pPr>
        <w:pStyle w:val="Heading4"/>
      </w:pPr>
      <w:r>
        <w:t>Nierfunctievervangende therapie: de grote lijnen</w:t>
      </w:r>
    </w:p>
    <w:p>
      <w:r>
        <w:t>Deze verdieping gaat dieper in op een aantal belangrijke thema’s rond niertransplantatie en dialyse op de intensive care. De nadruk ligt op complicaties die je in de klinische praktijk kunt tegenkomen, vooral bij patiënten met een niertransplantaat of bij ernstig zieke patiënten op de IC.</w:t>
      </w:r>
    </w:p>
    <w:p>
      <w:r>
        <w:t>Een belangrijk uitgangspunt is dat niertransplantatie op de lange termijn vaak betere resultaten geeft dan dialyse. Tegelijkertijd blijft er ook na transplantatie veel medische zorg nodig, bijvoorbeeld vanwege diabetes, rejectie, transplantaatfalen, zwangerschap en acute nierfalen op de IC.</w:t>
      </w:r>
    </w:p>
    <w:p>
      <w:r>
        <w:rPr>
          <w:b/>
        </w:rPr>
        <w:t>Aandachtsvraag:</w:t>
      </w:r>
      <w:r>
        <w:t xml:space="preserve"> waarom is deze verdieping klinisch relevant?  </w:t>
        <w:br/>
      </w:r>
      <w:r>
        <w:rPr>
          <w:b/>
        </w:rPr>
        <w:t>Kort antwoord:</w:t>
      </w:r>
      <w:r>
        <w:t xml:space="preserve"> omdat je als arts te maken kunt krijgen met complicaties die de uitkomst van een transplantatie sterk beïnvloeden, of met intensieve behandeling zoals dialyse op de IC.</w:t>
      </w:r>
    </w:p>
    <w:p>
      <w:pPr>
        <w:pStyle w:val="Heading4"/>
      </w:pPr>
      <w:r>
        <w:t>Diabetes mellitus na niertransplantatie</w:t>
      </w:r>
    </w:p>
    <w:p>
      <w:r>
        <w:t>Een aanzienlijk deel van de patiënten met nierfalen heeft al diabetes mellitus vóór de transplantatie. Door het nierfalen zelf, met verminderde insulineuitscheiding, maar ook door verlies aan eetlust en cachexie, kan deze bestaande diabetes tijdelijk minder zichtbaar worden. De diabetes lijkt dan als het ware “uit te doven”, maar verdwijnt niet echt. Na de transplantatie kan die weer terugkomen.</w:t>
      </w:r>
    </w:p>
    <w:p>
      <w:r>
        <w:t>Daarnaast ontwikkelt een deel van de patiënten juist een nieuwe diabetes mellitus na niertransplantatie. Dit heet diabetes na niertransplantatie.</w:t>
      </w:r>
    </w:p>
    <w:p>
      <w:pPr>
        <w:pStyle w:val="Heading5"/>
      </w:pPr>
      <w:r>
        <w:t>Risicofactoren en mechanismen</w:t>
      </w:r>
    </w:p>
    <w:p>
      <w:r>
        <w:t>Bij het ontstaan van nieuwe diabetes na niertransplantatie spelen meerdere factoren mee. Vooral de volgende factoren zijn belangrijk:</w:t>
      </w:r>
    </w:p>
    <w:p>
      <w:r>
        <w:rPr>
          <w:b/>
        </w:rPr>
        <w:t>Tabel 1. Belangrijke factoren bij diabetes na niertransplantatie</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Betekenis</w:t>
            </w:r>
          </w:p>
        </w:tc>
      </w:tr>
      <w:tr>
        <w:tc>
          <w:tcPr>
            <w:tcW w:type="dxa" w:w="4320"/>
          </w:tcPr>
          <w:p>
            <w:r>
              <w:t>Leeftijd &gt;45 jaar</w:t>
            </w:r>
          </w:p>
        </w:tc>
        <w:tc>
          <w:tcPr>
            <w:tcW w:type="dxa" w:w="4320"/>
          </w:tcPr>
          <w:p>
            <w:r>
              <w:t>Vergroot het risico</w:t>
            </w:r>
          </w:p>
        </w:tc>
      </w:tr>
      <w:tr>
        <w:tc>
          <w:tcPr>
            <w:tcW w:type="dxa" w:w="4320"/>
          </w:tcPr>
          <w:p>
            <w:r>
              <w:t>Mannelijk geslacht</w:t>
            </w:r>
          </w:p>
        </w:tc>
        <w:tc>
          <w:tcPr>
            <w:tcW w:type="dxa" w:w="4320"/>
          </w:tcPr>
          <w:p>
            <w:r>
              <w:t>Vergroot het risico</w:t>
            </w:r>
          </w:p>
        </w:tc>
      </w:tr>
      <w:tr>
        <w:tc>
          <w:tcPr>
            <w:tcW w:type="dxa" w:w="4320"/>
          </w:tcPr>
          <w:p>
            <w:r>
              <w:t>Hogere BMI</w:t>
            </w:r>
          </w:p>
        </w:tc>
        <w:tc>
          <w:tcPr>
            <w:tcW w:type="dxa" w:w="4320"/>
          </w:tcPr>
          <w:p>
            <w:r>
              <w:t>Vergroot het risico</w:t>
            </w:r>
          </w:p>
        </w:tc>
      </w:tr>
      <w:tr>
        <w:tc>
          <w:tcPr>
            <w:tcW w:type="dxa" w:w="4320"/>
          </w:tcPr>
          <w:p>
            <w:r>
              <w:t>Immunosuppressiva</w:t>
            </w:r>
          </w:p>
        </w:tc>
        <w:tc>
          <w:tcPr>
            <w:tcW w:type="dxa" w:w="4320"/>
          </w:tcPr>
          <w:p>
            <w:r>
              <w:t>Vooral tacrolimus en prednison zijn belangrijke boosdoeners</w:t>
            </w:r>
          </w:p>
        </w:tc>
      </w:tr>
    </w:tbl>
    <w:p>
      <w:r>
        <w:t>De mechanismen zijn terug te voeren op twee hoofdlijnen:</w:t>
      </w:r>
    </w:p>
    <w:p>
      <w:pPr>
        <w:pStyle w:val="ListNumber"/>
      </w:pPr>
      <w:r>
        <w:rPr>
          <w:b/>
        </w:rPr>
        <w:t>verminderde insulineafgifte</w:t>
      </w:r>
      <w:r>
        <w:t>;</w:t>
      </w:r>
    </w:p>
    <w:p>
      <w:pPr>
        <w:pStyle w:val="ListNumber"/>
      </w:pPr>
      <w:r>
        <w:rPr>
          <w:b/>
        </w:rPr>
        <w:t>insulineresistentie</w:t>
      </w:r>
      <w:r>
        <w:t>.</w:t>
      </w:r>
    </w:p>
    <w:p>
      <w:r>
        <w:t>Tacrolimus en prednison spelen hierin een belangrijke rol. Deze middelen kunnen dus bijdragen aan het ontstaan van diabetes na transplantatie.</w:t>
      </w:r>
    </w:p>
    <w:p>
      <w:pPr>
        <w:pStyle w:val="Heading5"/>
      </w:pPr>
      <w:r>
        <w:t>Behandeling</w:t>
      </w:r>
    </w:p>
    <w:p>
      <w:r>
        <w:t>Als tacrolimus en prednison een belangrijke rol spelen bij het ontstaan van de diabetes, dan zou het logisch lijken om juist die middelen als eerste aan te passen. Toch gebeurt dat maar weinig, omdat dit het risico op rejectie vergroot.</w:t>
      </w:r>
    </w:p>
    <w:p>
      <w:r>
        <w:t>In de praktijk wordt daarom vaak eerst ingezet op:</w:t>
      </w:r>
    </w:p>
    <w:p>
      <w:pPr>
        <w:pStyle w:val="ListBullet"/>
      </w:pPr>
      <w:r>
        <w:t>leefstijlinterventie;</w:t>
      </w:r>
    </w:p>
    <w:p>
      <w:pPr>
        <w:pStyle w:val="ListBullet"/>
      </w:pPr>
      <w:r>
        <w:t>medicatie die ook bij niet-transplantatiepatiënten wordt gebruikt.</w:t>
      </w:r>
    </w:p>
    <w:p>
      <w:r>
        <w:t>Er is wel aandacht voor timing van bepaalde middelen:</w:t>
      </w:r>
    </w:p>
    <w:p>
      <w:pPr>
        <w:pStyle w:val="ListBullet"/>
      </w:pPr>
      <w:r>
        <w:rPr>
          <w:b/>
        </w:rPr>
        <w:t>SGLT2-remmers</w:t>
      </w:r>
      <w:r>
        <w:t xml:space="preserve"> worden in de eerste maanden na transplantatie terughoudend gebruikt, omdat er risico bestaat op urineweginfecties.</w:t>
      </w:r>
    </w:p>
    <w:p>
      <w:pPr>
        <w:pStyle w:val="ListBullet"/>
      </w:pPr>
      <w:r>
        <w:rPr>
          <w:b/>
        </w:rPr>
        <w:t>GLP1-receptoragonisten</w:t>
      </w:r>
      <w:r>
        <w:t xml:space="preserve"> kunnen direct na transplantatie in combinatie met mycofenolaat mofetil te veel gastro-intestinale bijwerkingen geven; daarom worden ze vaak later ingezet.</w:t>
      </w:r>
    </w:p>
    <w:p>
      <w:r>
        <w:t>Na enkele maanden kan bij een deel van de patiënten de diabetes weer in remissie gaan, vaak door een combinatie van:</w:t>
      </w:r>
    </w:p>
    <w:p>
      <w:pPr>
        <w:pStyle w:val="ListBullet"/>
      </w:pPr>
      <w:r>
        <w:t>stoppen met prednison;</w:t>
      </w:r>
    </w:p>
    <w:p>
      <w:pPr>
        <w:pStyle w:val="ListBullet"/>
      </w:pPr>
      <w:r>
        <w:t>streven naar lagere tacrolimusspiegels.</w:t>
      </w:r>
    </w:p>
    <w:p>
      <w:pPr>
        <w:pStyle w:val="Heading4"/>
      </w:pPr>
      <w:r>
        <w:t>Chronische rejectie</w:t>
      </w:r>
    </w:p>
    <w:p>
      <w:r>
        <w:t>Chronische rejectie is een belangrijk probleem op langere termijn na niertransplantatie, ondanks de huidige immunosuppressiva. Een groot deel van de patiënten die dit ontwikkelen, zal uiteindelijk het transplantaat verliezen.</w:t>
      </w:r>
    </w:p>
    <w:p>
      <w:r>
        <w:t xml:space="preserve">In tegenstelling tot acute rejectie is chronische rejectie sterk gedreven door </w:t>
      </w:r>
      <w:r>
        <w:rPr>
          <w:b/>
        </w:rPr>
        <w:t>donor-specifieke antistoffen</w:t>
      </w:r>
      <w:r>
        <w:t>. Ook andere afweercellen spelen een rol, zoals:</w:t>
      </w:r>
    </w:p>
    <w:p>
      <w:pPr>
        <w:pStyle w:val="ListBullet"/>
      </w:pPr>
      <w:r>
        <w:t>neutrofiele granulocyten;</w:t>
      </w:r>
    </w:p>
    <w:p>
      <w:pPr>
        <w:pStyle w:val="ListBullet"/>
      </w:pPr>
      <w:r>
        <w:t>mogelijk NK-cellen.</w:t>
      </w:r>
    </w:p>
    <w:p>
      <w:pPr>
        <w:pStyle w:val="Heading5"/>
      </w:pPr>
      <w:r>
        <w:t>Klinisch beeld</w:t>
      </w:r>
    </w:p>
    <w:p>
      <w:r>
        <w:t>Chronische rejectie herken je vooral aan:</w:t>
      </w:r>
    </w:p>
    <w:p>
      <w:pPr>
        <w:pStyle w:val="ListBullet"/>
      </w:pPr>
      <w:r>
        <w:t xml:space="preserve">een </w:t>
      </w:r>
      <w:r>
        <w:rPr>
          <w:b/>
        </w:rPr>
        <w:t>gestage afname van de nierfunctie</w:t>
      </w:r>
      <w:r>
        <w:t xml:space="preserve"> van het transplantaat;</w:t>
      </w:r>
    </w:p>
    <w:p>
      <w:pPr>
        <w:pStyle w:val="ListBullet"/>
      </w:pPr>
      <w:r>
        <w:t xml:space="preserve">vaak ook </w:t>
      </w:r>
      <w:r>
        <w:rPr>
          <w:b/>
        </w:rPr>
        <w:t>proteïnurie</w:t>
      </w:r>
      <w:r>
        <w:t>.</w:t>
      </w:r>
    </w:p>
    <w:p>
      <w:r>
        <w:t>Bij biopt zie je schade aan:</w:t>
      </w:r>
    </w:p>
    <w:p>
      <w:pPr>
        <w:pStyle w:val="ListBullet"/>
      </w:pPr>
      <w:r>
        <w:t>de glomeruli;</w:t>
      </w:r>
    </w:p>
    <w:p>
      <w:pPr>
        <w:pStyle w:val="ListBullet"/>
      </w:pPr>
      <w:r>
        <w:t>de basaalmembraan.</w:t>
      </w:r>
    </w:p>
    <w:p>
      <w:r>
        <w:t xml:space="preserve">Dat hangt samen met het feit dat antistoffen schade geven aan het endotheel. Ook zijn de </w:t>
      </w:r>
      <w:r>
        <w:rPr>
          <w:b/>
        </w:rPr>
        <w:t>peritubulaire capillairen</w:t>
      </w:r>
      <w:r>
        <w:t xml:space="preserve"> vaak ontstoken.</w:t>
      </w:r>
    </w:p>
    <w:p>
      <w:r>
        <w:t xml:space="preserve">Dit ziekteproces wordt ook wel </w:t>
      </w:r>
      <w:r>
        <w:rPr>
          <w:b/>
        </w:rPr>
        <w:t>chronische actieve antistofgemedieerde rejectie</w:t>
      </w:r>
      <w:r>
        <w:t xml:space="preserve"> genoemd, afgekort </w:t>
      </w:r>
      <w:r>
        <w:rPr>
          <w:b/>
        </w:rPr>
        <w:t>caABMR</w:t>
      </w:r>
      <w:r>
        <w:t>.</w:t>
      </w:r>
    </w:p>
    <w:p>
      <w:r>
        <w:rPr>
          <w:b/>
        </w:rPr>
        <w:t>Aandachtsvraag:</w:t>
      </w:r>
      <w:r>
        <w:t xml:space="preserve"> wat maakt chronische rejectie anders dan acute rejectie?  </w:t>
        <w:br/>
      </w:r>
      <w:r>
        <w:rPr>
          <w:b/>
        </w:rPr>
        <w:t>Kort antwoord:</w:t>
      </w:r>
      <w:r>
        <w:t xml:space="preserve"> chronische rejectie verloopt geleidelijk en wordt vooral aangedreven door donor-specifieke antistoffen, met progressief functieverlies van het transplantaat.</w:t>
      </w:r>
    </w:p>
    <w:p>
      <w:pPr>
        <w:pStyle w:val="Heading5"/>
      </w:pPr>
      <w:r>
        <w:t>Behandeling en prognose</w:t>
      </w:r>
    </w:p>
    <w:p>
      <w:r>
        <w:t>Voor caABMR bestaat geen (internationaal) breed geaccepteerde behandeling. In het Erasmus MC worden patiënten behandeld met:</w:t>
      </w:r>
    </w:p>
    <w:p>
      <w:pPr>
        <w:pStyle w:val="ListBullet"/>
      </w:pPr>
      <w:r>
        <w:t>methylprednisolon;</w:t>
      </w:r>
    </w:p>
    <w:p>
      <w:pPr>
        <w:pStyle w:val="ListBullet"/>
      </w:pPr>
      <w:r>
        <w:t>IVIG.</w:t>
      </w:r>
    </w:p>
    <w:p>
      <w:r>
        <w:t>De eerste resultaten van eigen onderzoek laten zien dat hiermee de snelheid van nierfunctieverlies in het eerste jaar na behandeling ongeveer halveert.</w:t>
      </w:r>
    </w:p>
    <w:p>
      <w:r>
        <w:t>Toch blijft de prognose slecht:</w:t>
      </w:r>
    </w:p>
    <w:p>
      <w:pPr>
        <w:pStyle w:val="ListBullet"/>
      </w:pPr>
      <w:r>
        <w:t xml:space="preserve">ongeveer </w:t>
      </w:r>
      <w:r>
        <w:rPr>
          <w:b/>
        </w:rPr>
        <w:t>60%</w:t>
      </w:r>
      <w:r>
        <w:t xml:space="preserve"> transplantaatverlies binnen 4 jaar;</w:t>
      </w:r>
    </w:p>
    <w:p>
      <w:pPr>
        <w:pStyle w:val="ListBullet"/>
      </w:pPr>
      <w:r>
        <w:t xml:space="preserve">bij respons op behandeling ongeveer </w:t>
      </w:r>
      <w:r>
        <w:rPr>
          <w:b/>
        </w:rPr>
        <w:t>35%</w:t>
      </w:r>
      <w:r>
        <w:t xml:space="preserve"> transplantaatverlies binnen 4 jaar;</w:t>
      </w:r>
    </w:p>
    <w:p>
      <w:pPr>
        <w:pStyle w:val="ListBullet"/>
      </w:pPr>
      <w:r>
        <w:t xml:space="preserve">bij geen respons ongeveer </w:t>
      </w:r>
      <w:r>
        <w:rPr>
          <w:b/>
        </w:rPr>
        <w:t>80%</w:t>
      </w:r>
      <w:r>
        <w:t xml:space="preserve"> transplantaatverlies binnen 4 jaar.</w:t>
      </w:r>
    </w:p>
    <w:p>
      <w:r>
        <w:t>De kern blijft dus dat chronische rejectie een ernstig en progressief probleem is.</w:t>
      </w:r>
    </w:p>
    <w:p>
      <w:pPr>
        <w:pStyle w:val="Heading4"/>
      </w:pPr>
      <w:r>
        <w:t>Transplantaatafalen</w:t>
      </w:r>
    </w:p>
    <w:p>
      <w:r>
        <w:t>De langetermijnresultaten na niertransplantatie zijn veel beter dan na dialyse. Tegelijk laten de cijfers zien dat transplantaatverlies nog steeds voorkomt en sterk afhangt van donorsoort en leeftijd.</w:t>
      </w:r>
    </w:p>
    <w:p>
      <w:pPr>
        <w:pStyle w:val="Heading5"/>
      </w:pPr>
      <w:r>
        <w:t>Langetermijnresultaten</w:t>
      </w:r>
    </w:p>
    <w:p>
      <w:r>
        <w:rPr>
          <w:b/>
        </w:rPr>
        <w:t>Tabel 2. Voorbeelden van langetermijnuitkomsten na niertransplantatie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 / donorsoort</w:t>
            </w:r>
          </w:p>
        </w:tc>
        <w:tc>
          <w:tcPr>
            <w:tcW w:type="dxa" w:w="2160"/>
          </w:tcPr>
          <w:p>
            <w:r>
              <w:t>Patiëntoverleving</w:t>
            </w:r>
          </w:p>
        </w:tc>
        <w:tc>
          <w:tcPr>
            <w:tcW w:type="dxa" w:w="2160"/>
          </w:tcPr>
          <w:p>
            <w:r>
              <w:t>Transplantaatoverleving</w:t>
            </w:r>
          </w:p>
        </w:tc>
        <w:tc>
          <w:tcPr>
            <w:tcW w:type="dxa" w:w="2160"/>
          </w:tcPr>
          <w:p>
            <w:r>
              <w:t>15-jaars patiënt / transplantaatoverleving</w:t>
            </w:r>
          </w:p>
        </w:tc>
      </w:tr>
      <w:tr>
        <w:tc>
          <w:tcPr>
            <w:tcW w:type="dxa" w:w="2160"/>
          </w:tcPr>
          <w:p>
            <w:r>
              <w:t>USA, 10 jaar, levende donor</w:t>
            </w:r>
          </w:p>
        </w:tc>
        <w:tc>
          <w:tcPr>
            <w:tcW w:type="dxa" w:w="2160"/>
          </w:tcPr>
          <w:p>
            <w:r>
              <w:t>75%</w:t>
            </w:r>
          </w:p>
        </w:tc>
        <w:tc>
          <w:tcPr>
            <w:tcW w:type="dxa" w:w="2160"/>
          </w:tcPr>
          <w:p>
            <w:r>
              <w:t>65%</w:t>
            </w:r>
          </w:p>
        </w:tc>
        <w:tc>
          <w:tcPr>
            <w:tcW w:type="dxa" w:w="2160"/>
          </w:tcPr>
          <w:p>
            <w:r>
              <w:t>60% / 45%</w:t>
            </w:r>
          </w:p>
        </w:tc>
      </w:tr>
      <w:tr>
        <w:tc>
          <w:tcPr>
            <w:tcW w:type="dxa" w:w="2160"/>
          </w:tcPr>
          <w:p>
            <w:r>
              <w:t>USA, 10 jaar, overleden donor</w:t>
            </w:r>
          </w:p>
        </w:tc>
        <w:tc>
          <w:tcPr>
            <w:tcW w:type="dxa" w:w="2160"/>
          </w:tcPr>
          <w:p>
            <w:r>
              <w:t>60%</w:t>
            </w:r>
          </w:p>
        </w:tc>
        <w:tc>
          <w:tcPr>
            <w:tcW w:type="dxa" w:w="2160"/>
          </w:tcPr>
          <w:p>
            <w:r>
              <w:t>50%</w:t>
            </w:r>
          </w:p>
        </w:tc>
        <w:tc>
          <w:tcPr>
            <w:tcW w:type="dxa" w:w="2160"/>
          </w:tcPr>
          <w:p>
            <w:r>
              <w:t>45% / 30%</w:t>
            </w:r>
          </w:p>
        </w:tc>
      </w:tr>
      <w:tr>
        <w:tc>
          <w:tcPr>
            <w:tcW w:type="dxa" w:w="2160"/>
          </w:tcPr>
          <w:p>
            <w:r>
              <w:t>Europa (CTS), 10 jaar, levende donor</w:t>
            </w:r>
          </w:p>
        </w:tc>
        <w:tc>
          <w:tcPr>
            <w:tcW w:type="dxa" w:w="2160"/>
          </w:tcPr>
          <w:p>
            <w:r>
              <w:t>?</w:t>
            </w:r>
          </w:p>
        </w:tc>
        <w:tc>
          <w:tcPr>
            <w:tcW w:type="dxa" w:w="2160"/>
          </w:tcPr>
          <w:p>
            <w:r>
              <w:t>70%</w:t>
            </w:r>
          </w:p>
        </w:tc>
        <w:tc>
          <w:tcPr>
            <w:tcW w:type="dxa" w:w="2160"/>
          </w:tcPr>
          <w:p>
            <w:r>
              <w:t>?</w:t>
            </w:r>
          </w:p>
        </w:tc>
      </w:tr>
      <w:tr>
        <w:tc>
          <w:tcPr>
            <w:tcW w:type="dxa" w:w="2160"/>
          </w:tcPr>
          <w:p>
            <w:r>
              <w:t>Europa (CTS), 10 jaar, overleden donor</w:t>
            </w:r>
          </w:p>
        </w:tc>
        <w:tc>
          <w:tcPr>
            <w:tcW w:type="dxa" w:w="2160"/>
          </w:tcPr>
          <w:p>
            <w:r>
              <w:t>?</w:t>
            </w:r>
          </w:p>
        </w:tc>
        <w:tc>
          <w:tcPr>
            <w:tcW w:type="dxa" w:w="2160"/>
          </w:tcPr>
          <w:p>
            <w:r>
              <w:t>55%</w:t>
            </w:r>
          </w:p>
        </w:tc>
        <w:tc>
          <w:tcPr>
            <w:tcW w:type="dxa" w:w="2160"/>
          </w:tcPr>
          <w:p>
            <w:r>
              <w:t>?</w:t>
            </w:r>
          </w:p>
        </w:tc>
      </w:tr>
      <w:tr>
        <w:tc>
          <w:tcPr>
            <w:tcW w:type="dxa" w:w="2160"/>
          </w:tcPr>
          <w:p>
            <w:r>
              <w:t>Australië/Nieuw-Zeeland, 10 jaar, levende donor</w:t>
            </w:r>
          </w:p>
        </w:tc>
        <w:tc>
          <w:tcPr>
            <w:tcW w:type="dxa" w:w="2160"/>
          </w:tcPr>
          <w:p>
            <w:r>
              <w:t>85%</w:t>
            </w:r>
          </w:p>
        </w:tc>
        <w:tc>
          <w:tcPr>
            <w:tcW w:type="dxa" w:w="2160"/>
          </w:tcPr>
          <w:p>
            <w:r>
              <w:t>75%</w:t>
            </w:r>
          </w:p>
        </w:tc>
        <w:tc>
          <w:tcPr>
            <w:tcW w:type="dxa" w:w="2160"/>
          </w:tcPr>
          <w:p>
            <w:r>
              <w:t>75% / 60%</w:t>
            </w:r>
          </w:p>
        </w:tc>
      </w:tr>
      <w:tr>
        <w:tc>
          <w:tcPr>
            <w:tcW w:type="dxa" w:w="2160"/>
          </w:tcPr>
          <w:p>
            <w:r>
              <w:t>Australië/Nieuw-Zeeland, 10 jaar, overleden donor</w:t>
            </w:r>
          </w:p>
        </w:tc>
        <w:tc>
          <w:tcPr>
            <w:tcW w:type="dxa" w:w="2160"/>
          </w:tcPr>
          <w:p>
            <w:r>
              <w:t>75%</w:t>
            </w:r>
          </w:p>
        </w:tc>
        <w:tc>
          <w:tcPr>
            <w:tcW w:type="dxa" w:w="2160"/>
          </w:tcPr>
          <w:p>
            <w:r>
              <w:t>65%</w:t>
            </w:r>
          </w:p>
        </w:tc>
        <w:tc>
          <w:tcPr>
            <w:tcW w:type="dxa" w:w="2160"/>
          </w:tcPr>
          <w:p>
            <w:r>
              <w:t>55% / 40%</w:t>
            </w:r>
          </w:p>
        </w:tc>
      </w:tr>
    </w:tbl>
    <w:p>
      <w:r>
        <w:t>De resultaten zijn dus duidelijk beter bij een levende donor dan bij een overleden donor. Ook leeftijd speelt een belangrijke rol. Bij patiënten jonger dan 40 jaar zijn de resultaten uitstekend, maar in andere leeftijdsgroepen gaan er veel nieren verloren.</w:t>
      </w:r>
    </w:p>
    <w:p>
      <w:pPr>
        <w:pStyle w:val="Heading5"/>
      </w:pPr>
      <w:r>
        <w:t>Belangrijkste reden van transplantaatverlies</w:t>
      </w:r>
    </w:p>
    <w:p>
      <w:r>
        <w:t xml:space="preserve">Bij oudere patiënten, vooral boven de 50 jaar, is de belangrijkste reden van transplantaatverlies vaak </w:t>
      </w:r>
      <w:r>
        <w:rPr>
          <w:b/>
        </w:rPr>
        <w:t>overlijden van de patiënt</w:t>
      </w:r>
      <w:r>
        <w:t>. Dat is een belangrijk en soms verrassend gegeven.</w:t>
      </w:r>
    </w:p>
    <w:p>
      <w:r>
        <w:rPr>
          <w:b/>
        </w:rPr>
        <w:t>Tabel 3. Belangrijkste oorzaken van transplantaatverlies</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Oorzaken</w:t>
            </w:r>
          </w:p>
        </w:tc>
      </w:tr>
      <w:tr>
        <w:tc>
          <w:tcPr>
            <w:tcW w:type="dxa" w:w="4320"/>
          </w:tcPr>
          <w:p>
            <w:r>
              <w:t>&lt; 1 jaar na transplantatie</w:t>
            </w:r>
          </w:p>
        </w:tc>
        <w:tc>
          <w:tcPr>
            <w:tcW w:type="dxa" w:w="4320"/>
          </w:tcPr>
          <w:p>
            <w:r>
              <w:t>In eerste plaats technische/vasculaire problemen, daarna acute rejectie</w:t>
            </w:r>
          </w:p>
        </w:tc>
      </w:tr>
      <w:tr>
        <w:tc>
          <w:tcPr>
            <w:tcW w:type="dxa" w:w="4320"/>
          </w:tcPr>
          <w:p>
            <w:r>
              <w:t>&gt; 1 jaar na transplantatie</w:t>
            </w:r>
          </w:p>
        </w:tc>
        <w:tc>
          <w:tcPr>
            <w:tcW w:type="dxa" w:w="4320"/>
          </w:tcPr>
          <w:p>
            <w:r>
              <w:t>Vooral rejectie, daarnaast onbekend/geen biopt en glomerulaire ziekten</w:t>
            </w:r>
          </w:p>
        </w:tc>
      </w:tr>
      <w:tr>
        <w:tc>
          <w:tcPr>
            <w:tcW w:type="dxa" w:w="4320"/>
          </w:tcPr>
          <w:p>
            <w:r>
              <w:t>Oudere patiënten (&gt;50 jaar)</w:t>
            </w:r>
          </w:p>
        </w:tc>
        <w:tc>
          <w:tcPr>
            <w:tcW w:type="dxa" w:w="4320"/>
          </w:tcPr>
          <w:p>
            <w:r>
              <w:t>Vaak overlijden van de patiënt zelf als belangrijkste oorzaak van transplantaatverlies</w:t>
            </w:r>
          </w:p>
        </w:tc>
      </w:tr>
    </w:tbl>
    <w:p>
      <w:r>
        <w:t>Ook de doodsoorzaken veranderen in de tijd:</w:t>
      </w:r>
    </w:p>
    <w:p>
      <w:pPr>
        <w:pStyle w:val="ListBullet"/>
      </w:pPr>
      <w:r>
        <w:rPr>
          <w:b/>
        </w:rPr>
        <w:t>&lt; 1 jaar</w:t>
      </w:r>
      <w:r>
        <w:t>: vooral infecties, hart- en vaatziekten en kanker;</w:t>
      </w:r>
    </w:p>
    <w:p>
      <w:pPr>
        <w:pStyle w:val="ListBullet"/>
      </w:pPr>
      <w:r>
        <w:rPr>
          <w:b/>
        </w:rPr>
        <w:t>&gt; 1 jaar</w:t>
      </w:r>
      <w:r>
        <w:t>: kanker, hart- en vaatziekten en infecties.</w:t>
      </w:r>
    </w:p>
    <w:p>
      <w:pPr>
        <w:pStyle w:val="Heading5"/>
      </w:pPr>
      <w:r>
        <w:t>Wat gebeurt er bij dreigend transplantaatfalen?</w:t>
      </w:r>
    </w:p>
    <w:p>
      <w:r>
        <w:t>Als transplantaatfalen dreigt, dan staan dezelfde keuzes opnieuw centraal als bij het oorspronkelijke nierfalen:</w:t>
      </w:r>
    </w:p>
    <w:p>
      <w:pPr>
        <w:pStyle w:val="ListBullet"/>
      </w:pPr>
      <w:r>
        <w:t>conservatief beleid;</w:t>
      </w:r>
    </w:p>
    <w:p>
      <w:pPr>
        <w:pStyle w:val="ListBullet"/>
      </w:pPr>
      <w:r>
        <w:t>dialyse;</w:t>
      </w:r>
    </w:p>
    <w:p>
      <w:pPr>
        <w:pStyle w:val="ListBullet"/>
      </w:pPr>
      <w:r>
        <w:t>niertransplantatie.</w:t>
      </w:r>
    </w:p>
    <w:p>
      <w:r>
        <w:t xml:space="preserve">In de meeste gevallen zal de keuze weer op een </w:t>
      </w:r>
      <w:r>
        <w:rPr>
          <w:b/>
        </w:rPr>
        <w:t>nieuwe niertransplantatie</w:t>
      </w:r>
      <w:r>
        <w:t xml:space="preserve"> vallen. Dat is echter uitdagender dan de eerste keer, onder andere door immunologische redenen: de patiënt is immers al “geïmmuniseerd” door de huidige transplantatie. Bovendien zijn patiënten inmiddels ouder geworden en hebben ze vaak extra aandoeningen ontwikkeld, bijvoorbeeld diabetes mellitus na niertransplantatie.</w:t>
      </w:r>
    </w:p>
    <w:p>
      <w:r>
        <w:t xml:space="preserve">Het oude transplantaat wordt meestal </w:t>
      </w:r>
      <w:r>
        <w:rPr>
          <w:b/>
        </w:rPr>
        <w:t>in situ</w:t>
      </w:r>
      <w:r>
        <w:t xml:space="preserve"> gelaten, net als een oude native nier bij niertransplantatiefalen, tenzij het transplantaat:</w:t>
      </w:r>
    </w:p>
    <w:p>
      <w:pPr>
        <w:pStyle w:val="ListBullet"/>
      </w:pPr>
      <w:r>
        <w:t>acuut geïnfecteerd is;</w:t>
      </w:r>
    </w:p>
    <w:p>
      <w:pPr>
        <w:pStyle w:val="ListBullet"/>
      </w:pPr>
      <w:r>
        <w:t>ernstig ontstoken is door rejectie.</w:t>
      </w:r>
    </w:p>
    <w:p>
      <w:r>
        <w:t>Dan kan verwijdering nodig zijn, of embolisatie.</w:t>
      </w:r>
    </w:p>
    <w:p>
      <w:r>
        <w:t xml:space="preserve">Een transplantaatoperatie, zeker in acute setting, is een grote ingreep met een sterfterisico van ongeveer </w:t>
      </w:r>
      <w:r>
        <w:rPr>
          <w:b/>
        </w:rPr>
        <w:t>4%</w:t>
      </w:r>
      <w:r>
        <w:t>.</w:t>
      </w:r>
    </w:p>
    <w:p>
      <w:pPr>
        <w:pStyle w:val="Heading4"/>
      </w:pPr>
      <w:r>
        <w:t>Zwangerschap na niertransplantatie</w:t>
      </w:r>
    </w:p>
    <w:p>
      <w:r>
        <w:t xml:space="preserve">Er zijn wereldwijd veel patiënten met een niertransplantaat, en een deel daarvan is vrouw in de vruchtbare leeftijd. Ongeveer </w:t>
      </w:r>
      <w:r>
        <w:rPr>
          <w:b/>
        </w:rPr>
        <w:t>10%</w:t>
      </w:r>
      <w:r>
        <w:t xml:space="preserve"> van deze vrouwen raakt zwanger. Dat zijn altijd hoog-risico zwangerschappen, omdat er risico’s zijn voor:</w:t>
      </w:r>
    </w:p>
    <w:p>
      <w:pPr>
        <w:pStyle w:val="ListBullet"/>
      </w:pPr>
      <w:r>
        <w:t>de moeder;</w:t>
      </w:r>
    </w:p>
    <w:p>
      <w:pPr>
        <w:pStyle w:val="ListBullet"/>
      </w:pPr>
      <w:r>
        <w:t>het kind;</w:t>
      </w:r>
    </w:p>
    <w:p>
      <w:pPr>
        <w:pStyle w:val="ListBullet"/>
      </w:pPr>
      <w:r>
        <w:t>het transplantaat.</w:t>
      </w:r>
    </w:p>
    <w:p>
      <w:r>
        <w:t>Voor sommige vrouwen is elk risico op nierfunctieverlies onacceptabel, terwijl anderen een kinderwens zwaarder laten wegen. De afweging blijft daarom individueel.</w:t>
      </w:r>
    </w:p>
    <w:p>
      <w:pPr>
        <w:pStyle w:val="Heading5"/>
      </w:pPr>
      <w:r>
        <w:t>Wanneer zijn de uitkomsten het best?</w:t>
      </w:r>
    </w:p>
    <w:p>
      <w:r>
        <w:t>De beste zwangerschapsuitkomsten zie je bij:</w:t>
      </w:r>
    </w:p>
    <w:p>
      <w:pPr>
        <w:pStyle w:val="ListBullet"/>
      </w:pPr>
      <w:r>
        <w:t>goede nierfunctie;</w:t>
      </w:r>
    </w:p>
    <w:p>
      <w:pPr>
        <w:pStyle w:val="ListBullet"/>
      </w:pPr>
      <w:r>
        <w:t>afwezigheid of minimale proteïnurie;</w:t>
      </w:r>
    </w:p>
    <w:p>
      <w:pPr>
        <w:pStyle w:val="ListBullet"/>
      </w:pPr>
      <w:r>
        <w:t xml:space="preserve">goed gereguleerde bloeddruk, liefst </w:t>
      </w:r>
      <w:r>
        <w:rPr>
          <w:b/>
        </w:rPr>
        <w:t>&lt;130/80 mmHg</w:t>
      </w:r>
      <w:r>
        <w:t>.</w:t>
      </w:r>
    </w:p>
    <w:p>
      <w:r>
        <w:t>De slechtste uitkomsten zie je bij:</w:t>
      </w:r>
    </w:p>
    <w:p>
      <w:pPr>
        <w:pStyle w:val="ListBullet"/>
      </w:pPr>
      <w:r>
        <w:t>ernstig gestoorde nierfunctie (</w:t>
      </w:r>
      <w:r>
        <w:rPr>
          <w:b/>
        </w:rPr>
        <w:t>&lt;30 ml/min</w:t>
      </w:r>
      <w:r>
        <w:t>);</w:t>
      </w:r>
    </w:p>
    <w:p>
      <w:pPr>
        <w:pStyle w:val="ListBullet"/>
      </w:pPr>
      <w:r>
        <w:t>hypertensie;</w:t>
      </w:r>
    </w:p>
    <w:p>
      <w:pPr>
        <w:pStyle w:val="ListBullet"/>
      </w:pPr>
      <w:r>
        <w:t xml:space="preserve">proteïnurie van </w:t>
      </w:r>
      <w:r>
        <w:rPr>
          <w:b/>
        </w:rPr>
        <w:t>&gt;1 gram per dag</w:t>
      </w:r>
      <w:r>
        <w:t>.</w:t>
      </w:r>
    </w:p>
    <w:p>
      <w:r>
        <w:t>Er is geen harde grens waarboven het absoluut te risicovol wordt, maar hoe ongunstiger deze factoren samen zijn, hoe slechter de uitkomst.</w:t>
      </w:r>
    </w:p>
    <w:p>
      <w:pPr>
        <w:pStyle w:val="Heading5"/>
      </w:pPr>
      <w:r>
        <w:t>Uitkomsten voor moeder en kind</w:t>
      </w:r>
    </w:p>
    <w:p>
      <w:r>
        <w:t>In Nederlandse gegevens bij 288 zwangeren met een niertransplantaat werden de uitkomsten vergeleken met de algemene Nederlandse populatie.</w:t>
      </w:r>
    </w:p>
    <w:p>
      <w:r>
        <w:rPr>
          <w:b/>
        </w:rPr>
        <w:t>Tabel 4. Zwangerschapsuitkomsten na niertransplantatie</w:t>
      </w:r>
    </w:p>
    <w:tbl>
      <w:tblPr>
        <w:tblStyle w:val="TableGrid"/>
        <w:tblW w:type="auto" w:w="0"/>
        <w:tblLook w:firstColumn="1" w:firstRow="1" w:lastColumn="0" w:lastRow="0" w:noHBand="0" w:noVBand="1" w:val="04A0"/>
      </w:tblPr>
      <w:tblGrid>
        <w:gridCol w:w="2880"/>
        <w:gridCol w:w="2880"/>
        <w:gridCol w:w="2880"/>
      </w:tblGrid>
      <w:tr>
        <w:tc>
          <w:tcPr>
            <w:tcW w:type="dxa" w:w="2880"/>
          </w:tcPr>
          <w:p>
            <w:r>
              <w:t>Uitkomst</w:t>
            </w:r>
          </w:p>
        </w:tc>
        <w:tc>
          <w:tcPr>
            <w:tcW w:type="dxa" w:w="2880"/>
          </w:tcPr>
          <w:p>
            <w:r>
              <w:t>Moeder met transplantaat</w:t>
            </w:r>
          </w:p>
        </w:tc>
        <w:tc>
          <w:tcPr>
            <w:tcW w:type="dxa" w:w="2880"/>
          </w:tcPr>
          <w:p>
            <w:r>
              <w:t>Algemene populatie</w:t>
            </w:r>
          </w:p>
        </w:tc>
      </w:tr>
      <w:tr>
        <w:tc>
          <w:tcPr>
            <w:tcW w:type="dxa" w:w="2880"/>
          </w:tcPr>
          <w:p>
            <w:r>
              <w:t>Hoge bloeddruk</w:t>
            </w:r>
          </w:p>
        </w:tc>
        <w:tc>
          <w:tcPr>
            <w:tcW w:type="dxa" w:w="2880"/>
          </w:tcPr>
          <w:p>
            <w:r>
              <w:t>26%</w:t>
            </w:r>
          </w:p>
        </w:tc>
        <w:tc>
          <w:tcPr>
            <w:tcW w:type="dxa" w:w="2880"/>
          </w:tcPr>
          <w:p>
            <w:r>
              <w:t>5%</w:t>
            </w:r>
          </w:p>
        </w:tc>
      </w:tr>
      <w:tr>
        <w:tc>
          <w:tcPr>
            <w:tcW w:type="dxa" w:w="2880"/>
          </w:tcPr>
          <w:p>
            <w:r>
              <w:t>Zwangerschapsvergiftiging</w:t>
            </w:r>
          </w:p>
        </w:tc>
        <w:tc>
          <w:tcPr>
            <w:tcW w:type="dxa" w:w="2880"/>
          </w:tcPr>
          <w:p>
            <w:r>
              <w:t>34%</w:t>
            </w:r>
          </w:p>
        </w:tc>
        <w:tc>
          <w:tcPr>
            <w:tcW w:type="dxa" w:w="2880"/>
          </w:tcPr>
          <w:p>
            <w:r>
              <w:t>0,5%</w:t>
            </w:r>
          </w:p>
        </w:tc>
      </w:tr>
      <w:tr>
        <w:tc>
          <w:tcPr>
            <w:tcW w:type="dxa" w:w="2880"/>
          </w:tcPr>
          <w:p>
            <w:r>
              <w:t>Keizersnede</w:t>
            </w:r>
          </w:p>
        </w:tc>
        <w:tc>
          <w:tcPr>
            <w:tcW w:type="dxa" w:w="2880"/>
          </w:tcPr>
          <w:p>
            <w:r>
              <w:t>48%</w:t>
            </w:r>
          </w:p>
        </w:tc>
        <w:tc>
          <w:tcPr>
            <w:tcW w:type="dxa" w:w="2880"/>
          </w:tcPr>
          <w:p>
            <w:r>
              <w:t>17%</w:t>
            </w:r>
          </w:p>
        </w:tc>
      </w:tr>
      <w:tr>
        <w:tc>
          <w:tcPr>
            <w:tcW w:type="dxa" w:w="2880"/>
          </w:tcPr>
          <w:p>
            <w:r>
              <w:t>Transplantaatverlies</w:t>
            </w:r>
          </w:p>
        </w:tc>
        <w:tc>
          <w:tcPr>
            <w:tcW w:type="dxa" w:w="2880"/>
          </w:tcPr>
          <w:p>
            <w:r>
              <w:t>23%</w:t>
            </w:r>
          </w:p>
        </w:tc>
        <w:tc>
          <w:tcPr>
            <w:tcW w:type="dxa" w:w="2880"/>
          </w:tcPr>
          <w:p>
            <w:r>
              <w:t>—</w:t>
            </w:r>
          </w:p>
        </w:tc>
      </w:tr>
    </w:tbl>
    <w:p>
      <w:r>
        <w:t>Voor het kind:</w:t>
      </w:r>
    </w:p>
    <w:tbl>
      <w:tblPr>
        <w:tblStyle w:val="TableGrid"/>
        <w:tblW w:type="auto" w:w="0"/>
        <w:tblLook w:firstColumn="1" w:firstRow="1" w:lastColumn="0" w:lastRow="0" w:noHBand="0" w:noVBand="1" w:val="04A0"/>
      </w:tblPr>
      <w:tblGrid>
        <w:gridCol w:w="2880"/>
        <w:gridCol w:w="2880"/>
        <w:gridCol w:w="2880"/>
      </w:tblGrid>
      <w:tr>
        <w:tc>
          <w:tcPr>
            <w:tcW w:type="dxa" w:w="2880"/>
          </w:tcPr>
          <w:p>
            <w:r>
              <w:t>Uitkomst</w:t>
            </w:r>
          </w:p>
        </w:tc>
        <w:tc>
          <w:tcPr>
            <w:tcW w:type="dxa" w:w="2880"/>
          </w:tcPr>
          <w:p>
            <w:r>
              <w:t>Kind van moeder met transplantaat</w:t>
            </w:r>
          </w:p>
        </w:tc>
        <w:tc>
          <w:tcPr>
            <w:tcW w:type="dxa" w:w="2880"/>
          </w:tcPr>
          <w:p>
            <w:r>
              <w:t>Algemene populatie</w:t>
            </w:r>
          </w:p>
        </w:tc>
      </w:tr>
      <w:tr>
        <w:tc>
          <w:tcPr>
            <w:tcW w:type="dxa" w:w="2880"/>
          </w:tcPr>
          <w:p>
            <w:r>
              <w:t>Levend geboren</w:t>
            </w:r>
          </w:p>
        </w:tc>
        <w:tc>
          <w:tcPr>
            <w:tcW w:type="dxa" w:w="2880"/>
          </w:tcPr>
          <w:p>
            <w:r>
              <w:t>93%</w:t>
            </w:r>
          </w:p>
        </w:tc>
        <w:tc>
          <w:tcPr>
            <w:tcW w:type="dxa" w:w="2880"/>
          </w:tcPr>
          <w:p>
            <w:r>
              <w:t>99,9%</w:t>
            </w:r>
          </w:p>
        </w:tc>
      </w:tr>
      <w:tr>
        <w:tc>
          <w:tcPr>
            <w:tcW w:type="dxa" w:w="2880"/>
          </w:tcPr>
          <w:p>
            <w:r>
              <w:t>Vroeggeboorte</w:t>
            </w:r>
          </w:p>
        </w:tc>
        <w:tc>
          <w:tcPr>
            <w:tcW w:type="dxa" w:w="2880"/>
          </w:tcPr>
          <w:p>
            <w:r>
              <w:t>50%</w:t>
            </w:r>
          </w:p>
        </w:tc>
        <w:tc>
          <w:tcPr>
            <w:tcW w:type="dxa" w:w="2880"/>
          </w:tcPr>
          <w:p>
            <w:r>
              <w:t>7%</w:t>
            </w:r>
          </w:p>
        </w:tc>
      </w:tr>
      <w:tr>
        <w:tc>
          <w:tcPr>
            <w:tcW w:type="dxa" w:w="2880"/>
          </w:tcPr>
          <w:p>
            <w:r>
              <w:t>Zwangerschapsduur</w:t>
            </w:r>
          </w:p>
        </w:tc>
        <w:tc>
          <w:tcPr>
            <w:tcW w:type="dxa" w:w="2880"/>
          </w:tcPr>
          <w:p>
            <w:r>
              <w:t>35,6 weken</w:t>
            </w:r>
          </w:p>
        </w:tc>
        <w:tc>
          <w:tcPr>
            <w:tcW w:type="dxa" w:w="2880"/>
          </w:tcPr>
          <w:p>
            <w:r>
              <w:t>40 weken</w:t>
            </w:r>
          </w:p>
        </w:tc>
      </w:tr>
      <w:tr>
        <w:tc>
          <w:tcPr>
            <w:tcW w:type="dxa" w:w="2880"/>
          </w:tcPr>
          <w:p>
            <w:r>
              <w:t>Te klein voor zwangerschapsduur</w:t>
            </w:r>
          </w:p>
        </w:tc>
        <w:tc>
          <w:tcPr>
            <w:tcW w:type="dxa" w:w="2880"/>
          </w:tcPr>
          <w:p>
            <w:r>
              <w:t>42%</w:t>
            </w:r>
          </w:p>
        </w:tc>
        <w:tc>
          <w:tcPr>
            <w:tcW w:type="dxa" w:w="2880"/>
          </w:tcPr>
          <w:p>
            <w:r>
              <w:t>10%</w:t>
            </w:r>
          </w:p>
        </w:tc>
      </w:tr>
      <w:tr>
        <w:tc>
          <w:tcPr>
            <w:tcW w:type="dxa" w:w="2880"/>
          </w:tcPr>
          <w:p>
            <w:r>
              <w:t>Geboortegewicht</w:t>
            </w:r>
          </w:p>
        </w:tc>
        <w:tc>
          <w:tcPr>
            <w:tcW w:type="dxa" w:w="2880"/>
          </w:tcPr>
          <w:p>
            <w:r>
              <w:t>2383 g (±885)</w:t>
            </w:r>
          </w:p>
        </w:tc>
        <w:tc>
          <w:tcPr>
            <w:tcW w:type="dxa" w:w="2880"/>
          </w:tcPr>
          <w:p>
            <w:r>
              <w:t>3250 g</w:t>
            </w:r>
          </w:p>
        </w:tc>
      </w:tr>
    </w:tbl>
    <w:p>
      <w:r>
        <w:t>De kinderen worden dus gemiddeld ongeveer 4 weken eerder geboren en wegen ongeveer 1 kilo minder. De uitkomsten zijn slechter dan bij vrouwen zonder transplantaat, maar onder de meest gunstige omstandigheden zeker niet als hopeloos te bestempelen.</w:t>
      </w:r>
    </w:p>
    <w:p>
      <w:r>
        <w:t>Ook werd genoemd dat 1 op de 5 moeders overleed voordat het kind 18 jaar was. Dat onderstreept dat de levensverwachting na niertransplantatie niet volledig normaliseert.</w:t>
      </w:r>
    </w:p>
    <w:p>
      <w:pPr>
        <w:pStyle w:val="Heading5"/>
      </w:pPr>
      <w:r>
        <w:t>Begeleiding</w:t>
      </w:r>
    </w:p>
    <w:p>
      <w:r>
        <w:t>Zwangerschap na niertransplantatie vraagt om:</w:t>
      </w:r>
    </w:p>
    <w:p>
      <w:pPr>
        <w:pStyle w:val="ListBullet"/>
      </w:pPr>
      <w:r>
        <w:t>uitgebreide voorlichting vooraf;</w:t>
      </w:r>
    </w:p>
    <w:p>
      <w:pPr>
        <w:pStyle w:val="ListBullet"/>
      </w:pPr>
      <w:r>
        <w:t>een individuele beslissing;</w:t>
      </w:r>
    </w:p>
    <w:p>
      <w:pPr>
        <w:pStyle w:val="ListBullet"/>
      </w:pPr>
      <w:r>
        <w:t>begeleiding tijdens de zwangerschap in het transplantatiecentrum;</w:t>
      </w:r>
    </w:p>
    <w:p>
      <w:pPr>
        <w:pStyle w:val="ListBullet"/>
      </w:pPr>
      <w:r>
        <w:t>samenwerking tussen nefroloog en gynaecoloog.</w:t>
      </w:r>
    </w:p>
    <w:p>
      <w:pPr>
        <w:pStyle w:val="Heading4"/>
      </w:pPr>
      <w:r>
        <w:t>Dialyse op de IC</w:t>
      </w:r>
    </w:p>
    <w:p>
      <w:r>
        <w:t>De module sluit af met dialyse in een bijzondere setting: de intensive care. Daar liggen vaak ernstig zieke patiënten met acute nierschade. Soms is dialyse nodig, maar het moment van starten is lastig en blijft onderwerp van discussie.</w:t>
      </w:r>
    </w:p>
    <w:p>
      <w:pPr>
        <w:pStyle w:val="Heading5"/>
      </w:pPr>
      <w:r>
        <w:t>Wanneer starten?</w:t>
      </w:r>
    </w:p>
    <w:p>
      <w:r>
        <w:t>Over het precieze tijdstip van starten bestaat veel discussie. Onderzoeken laten tegenstrijdige resultaten zien. Vroeg starten lijkt in elk geval niet tot betere overleving te leiden. Uitstellen van behandeling kan er juist voor zorgen dat dialyse soms niet nodig blijkt, bijvoorbeeld doordat:</w:t>
      </w:r>
    </w:p>
    <w:p>
      <w:pPr>
        <w:pStyle w:val="ListBullet"/>
      </w:pPr>
      <w:r>
        <w:t>de patiënt overlijdt;</w:t>
      </w:r>
    </w:p>
    <w:p>
      <w:pPr>
        <w:pStyle w:val="ListBullet"/>
      </w:pPr>
      <w:r>
        <w:t>de nierfunctie spontaan herstelt.</w:t>
      </w:r>
    </w:p>
    <w:p>
      <w:r>
        <w:t>In de praktijk bestaat daardoor variatie tussen IC-centra en IC-artsen.</w:t>
      </w:r>
    </w:p>
    <w:p>
      <w:pPr>
        <w:pStyle w:val="Heading5"/>
      </w:pPr>
      <w:r>
        <w:t>Welke dialyse wordt gebruikt?</w:t>
      </w:r>
    </w:p>
    <w:p>
      <w:r>
        <w:t xml:space="preserve">De meest gebruikte vorm blijft </w:t>
      </w:r>
      <w:r>
        <w:rPr>
          <w:b/>
        </w:rPr>
        <w:t>hemodialyse</w:t>
      </w:r>
      <w:r>
        <w:t>. Acute peritoneale dialyse is ook mogelijk, maar wordt op de IC slechts beperkt toegepast, onder andere door beperkte ervaring en praktische bezwaren.</w:t>
      </w:r>
    </w:p>
    <w:p>
      <w:r>
        <w:t xml:space="preserve">Normale dialyse maakt gebruik van een bloedflow van ongeveer </w:t>
      </w:r>
      <w:r>
        <w:rPr>
          <w:b/>
        </w:rPr>
        <w:t>250–350 ml/min</w:t>
      </w:r>
      <w:r>
        <w:t xml:space="preserve">. Dat is voor ernstig hemodynamisch instabiele IC-patiënten vaak te belastend, omdat hun hart die extra circulatoire belasting niet aankan. Daarom wordt op de IC geen reguliere dialyse gebruikt, maar een </w:t>
      </w:r>
      <w:r>
        <w:rPr>
          <w:b/>
        </w:rPr>
        <w:t>continue techniek</w:t>
      </w:r>
      <w:r>
        <w:t>.</w:t>
      </w:r>
    </w:p>
    <w:p>
      <w:r>
        <w:t xml:space="preserve">Bij deze continue techniek is de bloedflow veel lager, vaak rond </w:t>
      </w:r>
      <w:r>
        <w:rPr>
          <w:b/>
        </w:rPr>
        <w:t>100 ml/min</w:t>
      </w:r>
      <w:r>
        <w:t>, en dat is meestal voldoende.</w:t>
      </w:r>
    </w:p>
    <w:p>
      <w:pPr>
        <w:pStyle w:val="Heading5"/>
      </w:pPr>
      <w:r>
        <w:t>Continu dialyseren en anticoagulatie</w:t>
      </w:r>
    </w:p>
    <w:p>
      <w:r>
        <w:t xml:space="preserve">Meestal wordt op de IC </w:t>
      </w:r>
      <w:r>
        <w:rPr>
          <w:b/>
        </w:rPr>
        <w:t>CVVHD</w:t>
      </w:r>
      <w:r>
        <w:t xml:space="preserve"> toegepast, dus continue veno-veneuze hemodialyse. Er kan ook gebruik worden gemaakt van convectieve klaring door hemofiltratie toe te passen (</w:t>
      </w:r>
      <w:r>
        <w:rPr>
          <w:b/>
        </w:rPr>
        <w:t>CVVHDF</w:t>
      </w:r>
      <w:r>
        <w:t>).</w:t>
      </w:r>
    </w:p>
    <w:p>
      <w:r>
        <w:t>Er wordt vaak extra plasmavoorraad door het filter geperst om voldoende klaring te krijgen. Dat kan:</w:t>
      </w:r>
    </w:p>
    <w:p>
      <w:pPr>
        <w:pStyle w:val="ListBullet"/>
      </w:pPr>
      <w:r>
        <w:rPr>
          <w:b/>
        </w:rPr>
        <w:t>voor het filter</w:t>
      </w:r>
      <w:r>
        <w:t xml:space="preserve"> worden toegediend: minder stolling, maar minder effectief;</w:t>
      </w:r>
    </w:p>
    <w:p>
      <w:pPr>
        <w:pStyle w:val="ListBullet"/>
      </w:pPr>
      <w:r>
        <w:rPr>
          <w:b/>
        </w:rPr>
        <w:t>na het filter</w:t>
      </w:r>
      <w:r>
        <w:t xml:space="preserve"> worden toegediend: omgekeerde voor- en nadelen.</w:t>
      </w:r>
    </w:p>
    <w:p>
      <w:r>
        <w:t xml:space="preserve">Bij IC-patiënten is antistolling vaak nodig, omdat zij door ontsteking vaak pro-trombotisch zijn. Tegelijk is het bloedingsrisico juist ook verhoogd. Daarom wordt vaak gekozen voor </w:t>
      </w:r>
      <w:r>
        <w:rPr>
          <w:b/>
        </w:rPr>
        <w:t>regionale antistolling</w:t>
      </w:r>
      <w:r>
        <w:t>: alleen in de machine.</w:t>
      </w:r>
    </w:p>
    <w:p>
      <w:r>
        <w:t xml:space="preserve">Dat gebeurt met </w:t>
      </w:r>
      <w:r>
        <w:rPr>
          <w:b/>
        </w:rPr>
        <w:t>citraat</w:t>
      </w:r>
      <w:r>
        <w:t>:</w:t>
      </w:r>
    </w:p>
    <w:p>
      <w:pPr>
        <w:pStyle w:val="ListBullet"/>
      </w:pPr>
      <w:r>
        <w:t>citraat wordt vóór het filter aan het bloed toegevoegd;</w:t>
      </w:r>
    </w:p>
    <w:p>
      <w:pPr>
        <w:pStyle w:val="ListBullet"/>
      </w:pPr>
      <w:r>
        <w:t>het bindt calcium;</w:t>
      </w:r>
    </w:p>
    <w:p>
      <w:pPr>
        <w:pStyle w:val="ListBullet"/>
      </w:pPr>
      <w:r>
        <w:t>daardoor wordt de stolling verstoord;</w:t>
      </w:r>
    </w:p>
    <w:p>
      <w:pPr>
        <w:pStyle w:val="ListBullet"/>
      </w:pPr>
      <w:r>
        <w:t>na het filter moet calcium natuurlijk weer worden aangevuld.</w:t>
      </w:r>
    </w:p>
    <w:p>
      <w:r>
        <w:t xml:space="preserve">Een deel van het citraat gaat met het bloed van de patiënt mee en wordt, bij goede leverfunctie, omgezet in bicarbonaat. Bij </w:t>
      </w:r>
      <w:r>
        <w:rPr>
          <w:b/>
        </w:rPr>
        <w:t>acuut leverfalen</w:t>
      </w:r>
      <w:r>
        <w:t xml:space="preserve"> is citraat daarom eigenlijk gecontra-indiceerd.</w:t>
      </w:r>
    </w:p>
    <w:p>
      <w:pPr>
        <w:pStyle w:val="Heading4"/>
      </w:pPr>
      <w:r>
        <w:t>Samenvatting</w:t>
      </w:r>
    </w:p>
    <w:p>
      <w:r>
        <w:t>Niertransplantatie geeft op lange termijn betere resultaten dan dialyse, maar brengt ook belangrijke complicaties met zich mee. Na transplantatie kan diabetes ontstaan of terugkomen, vooral onder invloed van tacrolimus en prednison. Chronische rejectie verloopt geleidelijk, wordt vooral aangedreven door donor-specifieke antistoffen en leidt vaak tot proteïnurie en progressief functieverlies. Bij transplantaatfalen zijn opnieuw keuzes nodig tussen conservatieve behandeling, dialyse en vaak opnieuw transplantatie. Zwangerschap na niertransplantatie is mogelijk, maar blijft hoog-risico en vraagt om goede nierfunctie, weinig proteïnurie en goede bloeddrukcontrole. Op de IC wordt dialyse meestal continu uitgevoerd, met lage bloedflow en vaak regionale citraat-antistolling.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