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6 – Chronische nierschade</w:t>
      </w:r>
    </w:p>
    <w:p>
      <w:pPr>
        <w:pStyle w:val="Heading4"/>
      </w:pPr>
      <w:r>
        <w:t>Leerdoelen</w:t>
      </w:r>
    </w:p>
    <w:p>
      <w:r>
        <w:t>Na het bestuderen van deze stof moet je:</w:t>
      </w:r>
    </w:p>
    <w:p>
      <w:pPr>
        <w:pStyle w:val="ListBullet"/>
      </w:pPr>
      <w:r>
        <w:t>de verschijnselen van chronische nierschade kunnen benoemen;</w:t>
      </w:r>
    </w:p>
    <w:p>
      <w:pPr>
        <w:pStyle w:val="ListBullet"/>
      </w:pPr>
      <w:r>
        <w:t>kunnen beredeneren welke complicaties kunnen optreden;</w:t>
      </w:r>
    </w:p>
    <w:p>
      <w:pPr>
        <w:pStyle w:val="ListBullet"/>
      </w:pPr>
      <w:r>
        <w:t>een therapeutisch advies kunnen geven aan een specifieke patiënt;</w:t>
      </w:r>
    </w:p>
    <w:p>
      <w:pPr>
        <w:pStyle w:val="ListBullet"/>
      </w:pPr>
      <w:r>
        <w:t>de klinische presentaties van veelvoorkomende nierziekten kunnen herkennen, zoals micro- en macroscopische hematurie, nefrotisch syndroom, nefritisch syndroom en chronische nierschade;</w:t>
      </w:r>
    </w:p>
    <w:p>
      <w:pPr>
        <w:pStyle w:val="ListBullet"/>
      </w:pPr>
      <w:r>
        <w:t>kunnen uitleggen hoe de progressie van chronische nierschade beïnvloed kan worden met farmacotherapie.</w:t>
      </w:r>
    </w:p>
    <w:p>
      <w:pPr>
        <w:pStyle w:val="Heading4"/>
      </w:pPr>
      <w:r>
        <w:t>Chronische nierschade: wat is het?</w:t>
      </w:r>
    </w:p>
    <w:p>
      <w:r>
        <w:t>Chronische nierschade, vaak afgekort als CNS en internationaal CKD genoemd, betekent dat de nieren langdurige schade hebben. Voor de definitie geldt dat deze nierschade minimaal 3 maanden aanwezig moet zijn. In de praktijk is dat soms lastig exact vast te stellen, omdat je meestal niet weet hoe het “gezonde beginpunt” eruitzag. Toch wordt die tijdsgrens als uitgangspunt gebruikt.</w:t>
      </w:r>
    </w:p>
    <w:p>
      <w:r>
        <w:t>Chronische nierschade wordt vooral herkend aan een verminderde nierfunctie, meestal gemeten met de eGFR via de CKD-EPI-formule. Een eGFR onder 60 ml/min is een belangrijke grens. Daarnaast zijn er ook andere criteria die op chronische nierschade wijzen.</w:t>
      </w:r>
    </w:p>
    <w:p>
      <w:r>
        <w:rPr>
          <w:b/>
        </w:rPr>
        <w:t>Tabel 1. Criteria die passen bij chronische nierschade</w:t>
      </w:r>
    </w:p>
    <w:tbl>
      <w:tblPr>
        <w:tblStyle w:val="TableGrid"/>
        <w:tblW w:type="auto" w:w="0"/>
        <w:tblLook w:firstColumn="1" w:firstRow="1" w:lastColumn="0" w:lastRow="0" w:noHBand="0" w:noVBand="1" w:val="04A0"/>
      </w:tblPr>
      <w:tblGrid>
        <w:gridCol w:w="4320"/>
        <w:gridCol w:w="4320"/>
      </w:tblGrid>
      <w:tr>
        <w:tc>
          <w:tcPr>
            <w:tcW w:type="dxa" w:w="4320"/>
          </w:tcPr>
          <w:p>
            <w:r>
              <w:t>Kenmerk</w:t>
            </w:r>
          </w:p>
        </w:tc>
        <w:tc>
          <w:tcPr>
            <w:tcW w:type="dxa" w:w="4320"/>
          </w:tcPr>
          <w:p>
            <w:r>
              <w:t>Voorbeeld</w:t>
            </w:r>
          </w:p>
        </w:tc>
      </w:tr>
      <w:tr>
        <w:tc>
          <w:tcPr>
            <w:tcW w:type="dxa" w:w="4320"/>
          </w:tcPr>
          <w:p>
            <w:r>
              <w:t>Verminderde nierfunctie</w:t>
            </w:r>
          </w:p>
        </w:tc>
        <w:tc>
          <w:tcPr>
            <w:tcW w:type="dxa" w:w="4320"/>
          </w:tcPr>
          <w:p>
            <w:r>
              <w:t>eGFR &lt; 60 ml/min</w:t>
            </w:r>
          </w:p>
        </w:tc>
      </w:tr>
      <w:tr>
        <w:tc>
          <w:tcPr>
            <w:tcW w:type="dxa" w:w="4320"/>
          </w:tcPr>
          <w:p>
            <w:r>
              <w:t>Albuminurie</w:t>
            </w:r>
          </w:p>
        </w:tc>
        <w:tc>
          <w:tcPr>
            <w:tcW w:type="dxa" w:w="4320"/>
          </w:tcPr>
          <w:p>
            <w:r>
              <w:t>&gt; 30 mg/dag of &gt; 3 mg/mmol creatinine</w:t>
            </w:r>
          </w:p>
        </w:tc>
      </w:tr>
      <w:tr>
        <w:tc>
          <w:tcPr>
            <w:tcW w:type="dxa" w:w="4320"/>
          </w:tcPr>
          <w:p>
            <w:r>
              <w:t>Structurele/histologische afwijkingen</w:t>
            </w:r>
          </w:p>
        </w:tc>
        <w:tc>
          <w:tcPr>
            <w:tcW w:type="dxa" w:w="4320"/>
          </w:tcPr>
          <w:p>
            <w:r>
              <w:t>Afwijkingen aan de nierstructuur of op biopt</w:t>
            </w:r>
          </w:p>
        </w:tc>
      </w:tr>
      <w:tr>
        <w:tc>
          <w:tcPr>
            <w:tcW w:type="dxa" w:w="4320"/>
          </w:tcPr>
          <w:p>
            <w:r>
              <w:t>Afwijkingen in urinesediment</w:t>
            </w:r>
          </w:p>
        </w:tc>
        <w:tc>
          <w:tcPr>
            <w:tcW w:type="dxa" w:w="4320"/>
          </w:tcPr>
          <w:p>
            <w:r>
              <w:t>Bijvoorbeeld afwijkingen in het sediment</w:t>
            </w:r>
          </w:p>
        </w:tc>
      </w:tr>
      <w:tr>
        <w:tc>
          <w:tcPr>
            <w:tcW w:type="dxa" w:w="4320"/>
          </w:tcPr>
          <w:p>
            <w:r>
              <w:t>Tubulusstoornissen met elektrolytstoornissen</w:t>
            </w:r>
          </w:p>
        </w:tc>
        <w:tc>
          <w:tcPr>
            <w:tcW w:type="dxa" w:w="4320"/>
          </w:tcPr>
          <w:p>
            <w:r>
              <w:t>Stoornissen in de tubuli met verstoring van zouten</w:t>
            </w:r>
          </w:p>
        </w:tc>
      </w:tr>
      <w:tr>
        <w:tc>
          <w:tcPr>
            <w:tcW w:type="dxa" w:w="4320"/>
          </w:tcPr>
          <w:p>
            <w:r>
              <w:t>Niertransplantatie</w:t>
            </w:r>
          </w:p>
        </w:tc>
        <w:tc>
          <w:tcPr>
            <w:tcW w:type="dxa" w:w="4320"/>
          </w:tcPr>
          <w:p>
            <w:r>
              <w:t>Een getransplanteerde nier telt ook mee</w:t>
            </w:r>
          </w:p>
        </w:tc>
      </w:tr>
    </w:tbl>
    <w:p>
      <w:r>
        <w:t xml:space="preserve">Vaak voldoet iemand aan het eGFR-criterium en/of het albuminuriecriterium. De ernst van chronische nierschade wordt vervolgens beschreven met de </w:t>
      </w:r>
      <w:r>
        <w:rPr>
          <w:b/>
        </w:rPr>
        <w:t>G-klassen</w:t>
      </w:r>
      <w:r>
        <w:t xml:space="preserve"> voor eGFR en de </w:t>
      </w:r>
      <w:r>
        <w:rPr>
          <w:b/>
        </w:rPr>
        <w:t>A-klassen</w:t>
      </w:r>
      <w:r>
        <w:t xml:space="preserve"> voor albuminurie. Zo krijg je een combinatie zoals G4A3.</w:t>
      </w:r>
    </w:p>
    <w:p>
      <w:r>
        <w:rPr>
          <w:b/>
        </w:rPr>
        <w:t>Tabel 2. Indeling van nierfunctie en albuminurie</w:t>
      </w:r>
    </w:p>
    <w:tbl>
      <w:tblPr>
        <w:tblStyle w:val="TableGrid"/>
        <w:tblW w:type="auto" w:w="0"/>
        <w:tblLook w:firstColumn="1" w:firstRow="1" w:lastColumn="0" w:lastRow="0" w:noHBand="0" w:noVBand="1" w:val="04A0"/>
      </w:tblPr>
      <w:tblGrid>
        <w:gridCol w:w="4320"/>
        <w:gridCol w:w="4320"/>
      </w:tblGrid>
      <w:tr>
        <w:tc>
          <w:tcPr>
            <w:tcW w:type="dxa" w:w="4320"/>
          </w:tcPr>
          <w:p>
            <w:r>
              <w:t>G-klasse</w:t>
            </w:r>
          </w:p>
        </w:tc>
        <w:tc>
          <w:tcPr>
            <w:tcW w:type="dxa" w:w="4320"/>
          </w:tcPr>
          <w:p>
            <w:r>
              <w:t>Betekenis</w:t>
            </w:r>
          </w:p>
        </w:tc>
      </w:tr>
      <w:tr>
        <w:tc>
          <w:tcPr>
            <w:tcW w:type="dxa" w:w="4320"/>
          </w:tcPr>
          <w:p>
            <w:r>
              <w:t>G1</w:t>
            </w:r>
          </w:p>
        </w:tc>
        <w:tc>
          <w:tcPr>
            <w:tcW w:type="dxa" w:w="4320"/>
          </w:tcPr>
          <w:p>
            <w:r>
              <w:t>Normaal</w:t>
            </w:r>
          </w:p>
        </w:tc>
      </w:tr>
      <w:tr>
        <w:tc>
          <w:tcPr>
            <w:tcW w:type="dxa" w:w="4320"/>
          </w:tcPr>
          <w:p>
            <w:r>
              <w:t>G2</w:t>
            </w:r>
          </w:p>
        </w:tc>
        <w:tc>
          <w:tcPr>
            <w:tcW w:type="dxa" w:w="4320"/>
          </w:tcPr>
          <w:p>
            <w:r>
              <w:t>Mild afgenomen</w:t>
            </w:r>
          </w:p>
        </w:tc>
      </w:tr>
      <w:tr>
        <w:tc>
          <w:tcPr>
            <w:tcW w:type="dxa" w:w="4320"/>
          </w:tcPr>
          <w:p>
            <w:r>
              <w:t>G3a</w:t>
            </w:r>
          </w:p>
        </w:tc>
        <w:tc>
          <w:tcPr>
            <w:tcW w:type="dxa" w:w="4320"/>
          </w:tcPr>
          <w:p>
            <w:r>
              <w:t>Mild tot matig afgenomen</w:t>
            </w:r>
          </w:p>
        </w:tc>
      </w:tr>
      <w:tr>
        <w:tc>
          <w:tcPr>
            <w:tcW w:type="dxa" w:w="4320"/>
          </w:tcPr>
          <w:p>
            <w:r>
              <w:t>G3b</w:t>
            </w:r>
          </w:p>
        </w:tc>
        <w:tc>
          <w:tcPr>
            <w:tcW w:type="dxa" w:w="4320"/>
          </w:tcPr>
          <w:p>
            <w:r>
              <w:t>Matig tot ernstig afgenomen</w:t>
            </w:r>
          </w:p>
        </w:tc>
      </w:tr>
      <w:tr>
        <w:tc>
          <w:tcPr>
            <w:tcW w:type="dxa" w:w="4320"/>
          </w:tcPr>
          <w:p>
            <w:r>
              <w:t>G4</w:t>
            </w:r>
          </w:p>
        </w:tc>
        <w:tc>
          <w:tcPr>
            <w:tcW w:type="dxa" w:w="4320"/>
          </w:tcPr>
          <w:p>
            <w:r>
              <w:t>Ernstig afgenomen</w:t>
            </w:r>
          </w:p>
        </w:tc>
      </w:tr>
      <w:tr>
        <w:tc>
          <w:tcPr>
            <w:tcW w:type="dxa" w:w="4320"/>
          </w:tcPr>
          <w:p>
            <w:r>
              <w:t>G5</w:t>
            </w:r>
          </w:p>
        </w:tc>
        <w:tc>
          <w:tcPr>
            <w:tcW w:type="dxa" w:w="4320"/>
          </w:tcPr>
          <w:p>
            <w:r>
              <w:t>Nierfalen</w:t>
            </w:r>
          </w:p>
        </w:tc>
      </w:tr>
    </w:tbl>
    <w:tbl>
      <w:tblPr>
        <w:tblStyle w:val="TableGrid"/>
        <w:tblW w:type="auto" w:w="0"/>
        <w:tblLook w:firstColumn="1" w:firstRow="1" w:lastColumn="0" w:lastRow="0" w:noHBand="0" w:noVBand="1" w:val="04A0"/>
      </w:tblPr>
      <w:tblGrid>
        <w:gridCol w:w="4320"/>
        <w:gridCol w:w="4320"/>
      </w:tblGrid>
      <w:tr>
        <w:tc>
          <w:tcPr>
            <w:tcW w:type="dxa" w:w="4320"/>
          </w:tcPr>
          <w:p>
            <w:r>
              <w:t>A-klasse</w:t>
            </w:r>
          </w:p>
        </w:tc>
        <w:tc>
          <w:tcPr>
            <w:tcW w:type="dxa" w:w="4320"/>
          </w:tcPr>
          <w:p>
            <w:r>
              <w:t>Betekenis</w:t>
            </w:r>
          </w:p>
        </w:tc>
      </w:tr>
      <w:tr>
        <w:tc>
          <w:tcPr>
            <w:tcW w:type="dxa" w:w="4320"/>
          </w:tcPr>
          <w:p>
            <w:r>
              <w:t>A1</w:t>
            </w:r>
          </w:p>
        </w:tc>
        <w:tc>
          <w:tcPr>
            <w:tcW w:type="dxa" w:w="4320"/>
          </w:tcPr>
          <w:p>
            <w:r>
              <w:t>Normale albuminurie</w:t>
            </w:r>
          </w:p>
        </w:tc>
      </w:tr>
      <w:tr>
        <w:tc>
          <w:tcPr>
            <w:tcW w:type="dxa" w:w="4320"/>
          </w:tcPr>
          <w:p>
            <w:r>
              <w:t>A2</w:t>
            </w:r>
          </w:p>
        </w:tc>
        <w:tc>
          <w:tcPr>
            <w:tcW w:type="dxa" w:w="4320"/>
          </w:tcPr>
          <w:p>
            <w:r>
              <w:t>Matig verhoogde albuminurie</w:t>
            </w:r>
          </w:p>
        </w:tc>
      </w:tr>
      <w:tr>
        <w:tc>
          <w:tcPr>
            <w:tcW w:type="dxa" w:w="4320"/>
          </w:tcPr>
          <w:p>
            <w:r>
              <w:t>A3</w:t>
            </w:r>
          </w:p>
        </w:tc>
        <w:tc>
          <w:tcPr>
            <w:tcW w:type="dxa" w:w="4320"/>
          </w:tcPr>
          <w:p>
            <w:r>
              <w:t>Sterk verhoogde albuminurie</w:t>
            </w:r>
          </w:p>
        </w:tc>
      </w:tr>
    </w:tbl>
    <w:p>
      <w:r>
        <w:rPr>
          <w:b/>
        </w:rPr>
        <w:t>Aandachtsvraag:</w:t>
      </w:r>
      <w:r>
        <w:t xml:space="preserve"> Waarom is een combinatie van eGFR en albuminurie handig?  </w:t>
        <w:br/>
      </w:r>
      <w:r>
        <w:rPr>
          <w:b/>
        </w:rPr>
        <w:t>Mini-antwoord:</w:t>
      </w:r>
      <w:r>
        <w:t xml:space="preserve"> Omdat je daarmee niet alleen de nierfunctie, maar ook de mate van nierschade en het risico beter kunt beschrijven.</w:t>
      </w:r>
    </w:p>
    <w:p>
      <w:pPr>
        <w:pStyle w:val="Heading4"/>
      </w:pPr>
      <w:r>
        <w:t>Hoe vaak komt chronische nierschade voor?</w:t>
      </w:r>
    </w:p>
    <w:p>
      <w:r>
        <w:t xml:space="preserve">Chronische nierschade komt veel voor. In Nederland heeft ongeveer </w:t>
      </w:r>
      <w:r>
        <w:rPr>
          <w:b/>
        </w:rPr>
        <w:t>10% van de bevolking</w:t>
      </w:r>
      <w:r>
        <w:t xml:space="preserve"> chronische nierschade; dat zijn ongeveer </w:t>
      </w:r>
      <w:r>
        <w:rPr>
          <w:b/>
        </w:rPr>
        <w:t>1,8 miljoen mensen</w:t>
      </w:r>
      <w:r>
        <w:t xml:space="preserve">. Ongeveer </w:t>
      </w:r>
      <w:r>
        <w:rPr>
          <w:b/>
        </w:rPr>
        <w:t>900.000 mensen</w:t>
      </w:r>
      <w:r>
        <w:t xml:space="preserve"> hebben een verminderde nierfunctie met een eGFR onder 60 ml/min.</w:t>
      </w:r>
    </w:p>
    <w:p>
      <w:r>
        <w:t xml:space="preserve">De meeste mensen met chronische nierschade zitten in de categorieën </w:t>
      </w:r>
      <w:r>
        <w:rPr>
          <w:b/>
        </w:rPr>
        <w:t>G3a en G3b</w:t>
      </w:r>
      <w:r>
        <w:t xml:space="preserve">. Bovendien geldt dat de incidentie en prevalentie sterk worden beïnvloed door </w:t>
      </w:r>
      <w:r>
        <w:rPr>
          <w:b/>
        </w:rPr>
        <w:t>leeftijd</w:t>
      </w:r>
      <w:r>
        <w:t xml:space="preserve"> en door </w:t>
      </w:r>
      <w:r>
        <w:rPr>
          <w:b/>
        </w:rPr>
        <w:t>comorbiditeiten</w:t>
      </w:r>
      <w:r>
        <w:t>.</w:t>
      </w:r>
    </w:p>
    <w:p>
      <w:r>
        <w:t>Een belangrijk punt is dat een vaste grens van 60 ml/min voor eGFR de diagnose eenvoudiger maakt, maar dat die grens bij oudere mensen veel mensen onder de noemer chronische nierschade brengt. Tegelijk geldt dat bij jonge mensen een eGFR boven 60 gewoon heel normaal kan zijn, en dat een eGFR onder die grens daar juist meer betekenis kan hebben. Toch wordt in de praktijk die vaste grens gebruikt, omdat dat overzichtelijk is.</w:t>
      </w:r>
    </w:p>
    <w:p>
      <w:r>
        <w:t xml:space="preserve">In Nederland waren er op </w:t>
      </w:r>
      <w:r>
        <w:rPr>
          <w:b/>
        </w:rPr>
        <w:t>31 december 2024</w:t>
      </w:r>
      <w:r>
        <w:t>:</w:t>
      </w:r>
    </w:p>
    <w:p>
      <w:pPr>
        <w:pStyle w:val="ListBullet"/>
      </w:pPr>
      <w:r>
        <w:rPr>
          <w:b/>
        </w:rPr>
        <w:t>12.844</w:t>
      </w:r>
      <w:r>
        <w:t xml:space="preserve"> patiënten met een donornier;</w:t>
      </w:r>
    </w:p>
    <w:p>
      <w:pPr>
        <w:pStyle w:val="ListBullet"/>
      </w:pPr>
      <w:r>
        <w:rPr>
          <w:b/>
        </w:rPr>
        <w:t>5.892</w:t>
      </w:r>
      <w:r>
        <w:t xml:space="preserve"> dialysepatiënten.</w:t>
      </w:r>
    </w:p>
    <w:p>
      <w:r>
        <w:t xml:space="preserve">Het aantal mensen met een donornier stijgt, terwijl het aantal dialysepatiënten wat afneemt. Vooral bij oudere patiënten wordt steeds vaker gekozen voor een </w:t>
      </w:r>
      <w:r>
        <w:rPr>
          <w:b/>
        </w:rPr>
        <w:t>conservatief beleid</w:t>
      </w:r>
      <w:r>
        <w:t>, omdat dialyse daar vaak weinig extra bijdraagt aan kwaliteit van leven en levensduur.</w:t>
      </w:r>
    </w:p>
    <w:p>
      <w:pPr>
        <w:pStyle w:val="Heading4"/>
      </w:pPr>
      <w:r>
        <w:t>Waardoor ontstaat chronische nierschade?</w:t>
      </w:r>
    </w:p>
    <w:p>
      <w:r>
        <w:t xml:space="preserve">De oorzaken van chronische nierschade zijn heel divers. Wereldwijd zijn </w:t>
      </w:r>
      <w:r>
        <w:rPr>
          <w:b/>
        </w:rPr>
        <w:t>diabetische nefropathie</w:t>
      </w:r>
      <w:r>
        <w:t xml:space="preserve"> en </w:t>
      </w:r>
      <w:r>
        <w:rPr>
          <w:b/>
        </w:rPr>
        <w:t>hypertensie/atherosclerose/vatlijden</w:t>
      </w:r>
      <w:r>
        <w:t xml:space="preserve"> de belangrijkste oorzaken. Ook </w:t>
      </w:r>
      <w:r>
        <w:rPr>
          <w:b/>
        </w:rPr>
        <w:t>obesitas</w:t>
      </w:r>
      <w:r>
        <w:t xml:space="preserve"> speelt een rol, zowel direct als indirect via diabetes mellitus. Daarbij kan schade ontstaan aan de nierfunctie en aan de integriteit van de basaalmembraan/podocyt. Secundaire FSGS komt vaak voor bij mensen met extreme obesitas.</w:t>
      </w:r>
    </w:p>
    <w:p>
      <w:r>
        <w:t>Andere oorzaken zijn ook mogelijk, maar vaak is het lastig om precies vast te stellen wat de nierschade heeft veroorzaakt. Zeker als iemand al comorbiditeit heeft, kan de oorzaak moeilijk te achterhalen zijn. Bij ongeveer een kwart van de patiënten blijft de oorzaak onduidelijk.</w:t>
      </w:r>
    </w:p>
    <w:p>
      <w:r>
        <w:rPr>
          <w:b/>
        </w:rPr>
        <w:t>Aandachtsvraag:</w:t>
      </w:r>
      <w:r>
        <w:t xml:space="preserve"> Waarom is het soms moeilijk om de oorzaak te vinden?  </w:t>
        <w:br/>
      </w:r>
      <w:r>
        <w:rPr>
          <w:b/>
        </w:rPr>
        <w:t>Mini-antwoord:</w:t>
      </w:r>
      <w:r>
        <w:t xml:space="preserve"> Omdat chronische nierschade vaak samen voorkomt met andere aandoeningen en omdat oude nierfunctiewaarden niet altijd beschikbaar zijn.</w:t>
      </w:r>
    </w:p>
    <w:p>
      <w:r>
        <w:t>Tegenwoordig wordt steeds vaker genetische diagnostiek ingezet om toch een diagnose te kunnen stellen. Een goede diagnose kan belangrijk zijn, omdat daarmee ook schade aan andere organen kan worden opgespoord, bijvoorbeeld bij diabetes mellitus of bij de ziekte van Fabry.</w:t>
      </w:r>
    </w:p>
    <w:p>
      <w:pPr>
        <w:pStyle w:val="Heading4"/>
      </w:pPr>
      <w:r>
        <w:t>Hoe verloopt de progressie?</w:t>
      </w:r>
    </w:p>
    <w:p>
      <w:r>
        <w:t xml:space="preserve">Chronische nierschade heeft een </w:t>
      </w:r>
      <w:r>
        <w:rPr>
          <w:b/>
        </w:rPr>
        <w:t>progressief karakter</w:t>
      </w:r>
      <w:r>
        <w:t xml:space="preserve">. Dat betekent dat de nierfunctie in de loop van de tijd verder achteruitgaat. Een belangrijk mechanisme is verlies van nefronen. De nefronen die overblijven, worden daardoor overbelast en kunnen ook kapotgaan. Zo ontstaat een </w:t>
      </w:r>
      <w:r>
        <w:rPr>
          <w:b/>
        </w:rPr>
        <w:t>vicieuze cirkel</w:t>
      </w:r>
      <w:r>
        <w:t>.</w:t>
      </w:r>
    </w:p>
    <w:p>
      <w:r>
        <w:t>Initiërende factoren kunnen onder andere zijn:</w:t>
      </w:r>
    </w:p>
    <w:p>
      <w:pPr>
        <w:pStyle w:val="ListBullet"/>
      </w:pPr>
      <w:r>
        <w:t>diabetes;</w:t>
      </w:r>
    </w:p>
    <w:p>
      <w:pPr>
        <w:pStyle w:val="ListBullet"/>
      </w:pPr>
      <w:r>
        <w:t>hypertensie;</w:t>
      </w:r>
    </w:p>
    <w:p>
      <w:pPr>
        <w:pStyle w:val="ListBullet"/>
      </w:pPr>
      <w:r>
        <w:t>blootstelling aan toxines;</w:t>
      </w:r>
    </w:p>
    <w:p>
      <w:pPr>
        <w:pStyle w:val="ListBullet"/>
      </w:pPr>
      <w:r>
        <w:t>afzetting van immuuncomplexen;</w:t>
      </w:r>
    </w:p>
    <w:p>
      <w:pPr>
        <w:pStyle w:val="ListBullet"/>
      </w:pPr>
      <w:r>
        <w:t>auto-immuunziekten.</w:t>
      </w:r>
    </w:p>
    <w:p>
      <w:r>
        <w:t>Daarna ontstaan reacties zoals:</w:t>
      </w:r>
    </w:p>
    <w:p>
      <w:pPr>
        <w:pStyle w:val="ListBullet"/>
      </w:pPr>
      <w:r>
        <w:t>activatie van vasoactieve mediatoren;</w:t>
      </w:r>
    </w:p>
    <w:p>
      <w:pPr>
        <w:pStyle w:val="ListBullet"/>
      </w:pPr>
      <w:r>
        <w:t>activatie van cytokinen;</w:t>
      </w:r>
    </w:p>
    <w:p>
      <w:pPr>
        <w:pStyle w:val="ListBullet"/>
      </w:pPr>
      <w:r>
        <w:t>activatie van RAAS;</w:t>
      </w:r>
    </w:p>
    <w:p>
      <w:pPr>
        <w:pStyle w:val="ListBullet"/>
      </w:pPr>
      <w:r>
        <w:t>activatie van groeifactoren;</w:t>
      </w:r>
    </w:p>
    <w:p>
      <w:pPr>
        <w:pStyle w:val="ListBullet"/>
      </w:pPr>
      <w:r>
        <w:t>hyperfiltratie;</w:t>
      </w:r>
    </w:p>
    <w:p>
      <w:pPr>
        <w:pStyle w:val="ListBullet"/>
      </w:pPr>
      <w:r>
        <w:t>verhoging van de intraglomerulaire druk;</w:t>
      </w:r>
    </w:p>
    <w:p>
      <w:pPr>
        <w:pStyle w:val="ListBullet"/>
      </w:pPr>
      <w:r>
        <w:t>structurele en functionele veranderingen van de overgebleven nefronen;</w:t>
      </w:r>
    </w:p>
    <w:p>
      <w:pPr>
        <w:pStyle w:val="ListBullet"/>
      </w:pPr>
      <w:r>
        <w:t>glomerulosclerose en hyalinisatie.</w:t>
      </w:r>
    </w:p>
    <w:p>
      <w:r>
        <w:t>Het eindresultaat is steeds verdere afname van de nierfunctie.</w:t>
      </w:r>
    </w:p>
    <w:p>
      <w:pPr>
        <w:pStyle w:val="Heading4"/>
      </w:pPr>
      <w:r>
        <w:t>Welke gevolgen heeft chronische nierschade?</w:t>
      </w:r>
    </w:p>
    <w:p>
      <w:r>
        <w:t xml:space="preserve">Chronische nierschade heeft een grote impact op de gezondheid. Vooral de </w:t>
      </w:r>
      <w:r>
        <w:rPr>
          <w:b/>
        </w:rPr>
        <w:t>rode en oranje categorieën</w:t>
      </w:r>
      <w:r>
        <w:t xml:space="preserve"> gaan gepaard met een forse daling van de levensverwachting. Mensen met chronische nierschade verliezen jaren levensverwachting vergeleken met gezonde personen. Een 30-jarige patiënt met nierfalen kan bijvoorbeeld een vergelijkbare levensverwachting hebben als een gezonde 75-jarige.</w:t>
      </w:r>
    </w:p>
    <w:p>
      <w:r>
        <w:t xml:space="preserve">De gezondheid van patiënten met chronische nierschade wordt vooral bedreigd door </w:t>
      </w:r>
      <w:r>
        <w:rPr>
          <w:b/>
        </w:rPr>
        <w:t>hart- en vaatziekten</w:t>
      </w:r>
      <w:r>
        <w:t xml:space="preserve"> en door </w:t>
      </w:r>
      <w:r>
        <w:rPr>
          <w:b/>
        </w:rPr>
        <w:t>nierfalen</w:t>
      </w:r>
      <w:r>
        <w:t>. Dat zijn dus beide belangrijke uitkomsten.</w:t>
      </w:r>
    </w:p>
    <w:p>
      <w:r>
        <w:t xml:space="preserve">Bij </w:t>
      </w:r>
      <w:r>
        <w:rPr>
          <w:b/>
        </w:rPr>
        <w:t>jongere patiënten</w:t>
      </w:r>
      <w:r>
        <w:t xml:space="preserve"> is nierfalen nog een reëel risico. Bij </w:t>
      </w:r>
      <w:r>
        <w:rPr>
          <w:b/>
        </w:rPr>
        <w:t>oudere patiënten</w:t>
      </w:r>
      <w:r>
        <w:t>, zeker boven de 75 jaar, is de grootste bedreiging vooral sterfte door hart- en vaatziekten.</w:t>
      </w:r>
    </w:p>
    <w:p>
      <w:r>
        <w:t>Chronische nierschade gaat daarnaast samen met veel andere problemen. Denk aan:</w:t>
      </w:r>
    </w:p>
    <w:p>
      <w:pPr>
        <w:pStyle w:val="ListBullet"/>
      </w:pPr>
      <w:r>
        <w:t>hypertensie en proteïnurie;</w:t>
      </w:r>
    </w:p>
    <w:p>
      <w:pPr>
        <w:pStyle w:val="ListBullet"/>
      </w:pPr>
      <w:r>
        <w:t>hypercholesterolemie;</w:t>
      </w:r>
    </w:p>
    <w:p>
      <w:pPr>
        <w:pStyle w:val="ListBullet"/>
      </w:pPr>
      <w:r>
        <w:t>stoornissen in de calcium-fosfaathuishouding;</w:t>
      </w:r>
    </w:p>
    <w:p>
      <w:pPr>
        <w:pStyle w:val="ListBullet"/>
      </w:pPr>
      <w:r>
        <w:t>botproblemen;</w:t>
      </w:r>
    </w:p>
    <w:p>
      <w:pPr>
        <w:pStyle w:val="ListBullet"/>
      </w:pPr>
      <w:r>
        <w:t>hyperkaliëmie;</w:t>
      </w:r>
    </w:p>
    <w:p>
      <w:pPr>
        <w:pStyle w:val="ListBullet"/>
      </w:pPr>
      <w:r>
        <w:t>anemie;</w:t>
      </w:r>
    </w:p>
    <w:p>
      <w:pPr>
        <w:pStyle w:val="ListBullet"/>
      </w:pPr>
      <w:r>
        <w:t>metabole acidose;</w:t>
      </w:r>
    </w:p>
    <w:p>
      <w:pPr>
        <w:pStyle w:val="ListBullet"/>
      </w:pPr>
      <w:r>
        <w:t>overvulling;</w:t>
      </w:r>
    </w:p>
    <w:p>
      <w:pPr>
        <w:pStyle w:val="ListBullet"/>
      </w:pPr>
      <w:r>
        <w:t>bloedingsneiging;</w:t>
      </w:r>
    </w:p>
    <w:p>
      <w:pPr>
        <w:pStyle w:val="ListBullet"/>
      </w:pPr>
      <w:r>
        <w:t>gastro-intestinale afwijkingen;</w:t>
      </w:r>
    </w:p>
    <w:p>
      <w:pPr>
        <w:pStyle w:val="ListBullet"/>
      </w:pPr>
      <w:r>
        <w:t>huidafwijkingen;</w:t>
      </w:r>
    </w:p>
    <w:p>
      <w:pPr>
        <w:pStyle w:val="ListBullet"/>
      </w:pPr>
      <w:r>
        <w:t>verhoogde kans op infecties;</w:t>
      </w:r>
    </w:p>
    <w:p>
      <w:pPr>
        <w:pStyle w:val="ListBullet"/>
      </w:pPr>
      <w:r>
        <w:t>endocriene stoornissen;</w:t>
      </w:r>
    </w:p>
    <w:p>
      <w:pPr>
        <w:pStyle w:val="ListBullet"/>
      </w:pPr>
      <w:r>
        <w:t>neurologische stoornissen.</w:t>
      </w:r>
    </w:p>
    <w:p>
      <w:r>
        <w:t>Daarnaast kunnen patiënten veel klachten ervaren, zoals vermoeidheid, kortademigheid, minder eetlust, beenzwelling, spierkrampen, jeuk, slaapproblemen, pijn, bot- en gewrichtspijn, sufheid en seksuele disfunctie. De klachtlast kan groot zijn, en die klachten zijn niet altijd direct in verhouding met de “nummers” die je meet.</w:t>
      </w:r>
    </w:p>
    <w:p>
      <w:pPr>
        <w:pStyle w:val="Heading4"/>
      </w:pPr>
      <w:r>
        <w:t>Wat zijn de behandeldoelen?</w:t>
      </w:r>
    </w:p>
    <w:p>
      <w:r>
        <w:t>De behandeling van chronische nierschade richt zich in grote lijnen op drie doelen:</w:t>
      </w:r>
    </w:p>
    <w:p>
      <w:pPr>
        <w:pStyle w:val="ListNumber"/>
      </w:pPr>
      <w:r>
        <w:rPr>
          <w:b/>
        </w:rPr>
        <w:t>Het voorkomen van nieuwe nierschade en het remmen van de progressie van bestaande nierschade.</w:t>
      </w:r>
    </w:p>
    <w:p>
      <w:pPr>
        <w:pStyle w:val="ListNumber"/>
      </w:pPr>
      <w:r>
        <w:rPr>
          <w:b/>
        </w:rPr>
        <w:t>Het voorkomen en behandelen van cardiovasculaire morbiditeit en mortaliteit.</w:t>
      </w:r>
    </w:p>
    <w:p>
      <w:pPr>
        <w:pStyle w:val="ListNumber"/>
      </w:pPr>
      <w:r>
        <w:rPr>
          <w:b/>
        </w:rPr>
        <w:t>Het voorkomen en behandelen van metabole complicaties.</w:t>
      </w:r>
    </w:p>
    <w:p>
      <w:r>
        <w:t>De eerste twee doelen zijn het belangrijkst. Behandelingen die daarop gericht zijn, hebben ook bewezen effect op hart- en vaatziekten, nierfalen en sterfte. Behandeling van metabole complicaties heeft vaak slechts een beperkter effect.</w:t>
      </w:r>
    </w:p>
    <w:p>
      <w:pPr>
        <w:pStyle w:val="Heading4"/>
      </w:pPr>
      <w:r>
        <w:t>Hoe bereik je de behandeldoelen?</w:t>
      </w:r>
    </w:p>
    <w:p>
      <w:r>
        <w:t xml:space="preserve">De basis van de behandeling is een </w:t>
      </w:r>
      <w:r>
        <w:rPr>
          <w:b/>
        </w:rPr>
        <w:t>gezonde leefstijl</w:t>
      </w:r>
      <w:r>
        <w:t>. Zonder een goede leefstijl werken medicamenteuze behandelingen minder goed. Een voorbeeld is zoutbeperking: als iemand heel zout blijft eten, werkt een RAAS-remmer minder goed.</w:t>
      </w:r>
    </w:p>
    <w:p>
      <w:r>
        <w:t>Je kunt het zien als het bouwen van een huis: zonder fundament kun je geen verdieping bouwen, maar alleen een fundament is nog geen bewoonbaar huis.</w:t>
      </w:r>
    </w:p>
    <w:p>
      <w:r>
        <w:t>Daarna volgt medicamenteuze behandeling. De kern daarvan bestaat uit:</w:t>
      </w:r>
    </w:p>
    <w:p>
      <w:pPr>
        <w:pStyle w:val="ListBullet"/>
      </w:pPr>
      <w:r>
        <w:t xml:space="preserve">een </w:t>
      </w:r>
      <w:r>
        <w:rPr>
          <w:b/>
        </w:rPr>
        <w:t>zo hoog mogelijke, maar verdraagbare RAAS-remming</w:t>
      </w:r>
      <w:r>
        <w:t>;</w:t>
      </w:r>
    </w:p>
    <w:p>
      <w:pPr>
        <w:pStyle w:val="ListBullet"/>
      </w:pPr>
      <w:r>
        <w:t xml:space="preserve">een </w:t>
      </w:r>
      <w:r>
        <w:rPr>
          <w:b/>
        </w:rPr>
        <w:t>SGLT2-remmer</w:t>
      </w:r>
      <w:r>
        <w:t>;</w:t>
      </w:r>
    </w:p>
    <w:p>
      <w:pPr>
        <w:pStyle w:val="ListBullet"/>
      </w:pPr>
      <w:r>
        <w:t xml:space="preserve">bij iedereen van </w:t>
      </w:r>
      <w:r>
        <w:rPr>
          <w:b/>
        </w:rPr>
        <w:t>50 jaar en ouder</w:t>
      </w:r>
      <w:r>
        <w:t xml:space="preserve"> een </w:t>
      </w:r>
      <w:r>
        <w:rPr>
          <w:b/>
        </w:rPr>
        <w:t>statine</w:t>
      </w:r>
      <w:r>
        <w:t>.</w:t>
      </w:r>
    </w:p>
    <w:p>
      <w:r>
        <w:t>Voorbeelden van deze medicamenteuze kernbehandeling zijn:</w:t>
      </w:r>
    </w:p>
    <w:p>
      <w:pPr>
        <w:pStyle w:val="ListBullet"/>
      </w:pPr>
      <w:r>
        <w:rPr>
          <w:b/>
        </w:rPr>
        <w:t>lisinopril</w:t>
      </w:r>
      <w:r>
        <w:t xml:space="preserve"> als RAAS-remmer;</w:t>
      </w:r>
    </w:p>
    <w:p>
      <w:pPr>
        <w:pStyle w:val="ListBullet"/>
      </w:pPr>
      <w:r>
        <w:rPr>
          <w:b/>
        </w:rPr>
        <w:t>dapagliflozine</w:t>
      </w:r>
      <w:r>
        <w:t xml:space="preserve"> als SGLT2-remmer;</w:t>
      </w:r>
    </w:p>
    <w:p>
      <w:pPr>
        <w:pStyle w:val="ListBullet"/>
      </w:pPr>
      <w:r>
        <w:rPr>
          <w:b/>
        </w:rPr>
        <w:t>atorvastatine</w:t>
      </w:r>
      <w:r>
        <w:t xml:space="preserve"> als statine.</w:t>
      </w:r>
    </w:p>
    <w:p>
      <w:r>
        <w:rPr>
          <w:b/>
        </w:rPr>
        <w:t>Tabel 3. Kern van de medicamenteuze behandeling</w:t>
      </w:r>
    </w:p>
    <w:tbl>
      <w:tblPr>
        <w:tblStyle w:val="TableGrid"/>
        <w:tblW w:type="auto" w:w="0"/>
        <w:tblLook w:firstColumn="1" w:firstRow="1" w:lastColumn="0" w:lastRow="0" w:noHBand="0" w:noVBand="1" w:val="04A0"/>
      </w:tblPr>
      <w:tblGrid>
        <w:gridCol w:w="2880"/>
        <w:gridCol w:w="2880"/>
        <w:gridCol w:w="2880"/>
      </w:tblGrid>
      <w:tr>
        <w:tc>
          <w:tcPr>
            <w:tcW w:type="dxa" w:w="2880"/>
          </w:tcPr>
          <w:p>
            <w:r>
              <w:t>Middel</w:t>
            </w:r>
          </w:p>
        </w:tc>
        <w:tc>
          <w:tcPr>
            <w:tcW w:type="dxa" w:w="2880"/>
          </w:tcPr>
          <w:p>
            <w:r>
              <w:t>Voorbeeld</w:t>
            </w:r>
          </w:p>
        </w:tc>
        <w:tc>
          <w:tcPr>
            <w:tcW w:type="dxa" w:w="2880"/>
          </w:tcPr>
          <w:p>
            <w:r>
              <w:t>Doel</w:t>
            </w:r>
          </w:p>
        </w:tc>
      </w:tr>
      <w:tr>
        <w:tc>
          <w:tcPr>
            <w:tcW w:type="dxa" w:w="2880"/>
          </w:tcPr>
          <w:p>
            <w:r>
              <w:t>RAAS-remmer</w:t>
            </w:r>
          </w:p>
        </w:tc>
        <w:tc>
          <w:tcPr>
            <w:tcW w:type="dxa" w:w="2880"/>
          </w:tcPr>
          <w:p>
            <w:r>
              <w:t>Lisinopril</w:t>
            </w:r>
          </w:p>
        </w:tc>
        <w:tc>
          <w:tcPr>
            <w:tcW w:type="dxa" w:w="2880"/>
          </w:tcPr>
          <w:p>
            <w:r>
              <w:t>Remt progressie en beschermt hart en nieren</w:t>
            </w:r>
          </w:p>
        </w:tc>
      </w:tr>
      <w:tr>
        <w:tc>
          <w:tcPr>
            <w:tcW w:type="dxa" w:w="2880"/>
          </w:tcPr>
          <w:p>
            <w:r>
              <w:t>SGLT2-remmer</w:t>
            </w:r>
          </w:p>
        </w:tc>
        <w:tc>
          <w:tcPr>
            <w:tcW w:type="dxa" w:w="2880"/>
          </w:tcPr>
          <w:p>
            <w:r>
              <w:t>Dapagliflozine</w:t>
            </w:r>
          </w:p>
        </w:tc>
        <w:tc>
          <w:tcPr>
            <w:tcW w:type="dxa" w:w="2880"/>
          </w:tcPr>
          <w:p>
            <w:r>
              <w:t>Ondersteunt bescherming van nier en hart</w:t>
            </w:r>
          </w:p>
        </w:tc>
      </w:tr>
      <w:tr>
        <w:tc>
          <w:tcPr>
            <w:tcW w:type="dxa" w:w="2880"/>
          </w:tcPr>
          <w:p>
            <w:r>
              <w:t>Statine</w:t>
            </w:r>
          </w:p>
        </w:tc>
        <w:tc>
          <w:tcPr>
            <w:tcW w:type="dxa" w:w="2880"/>
          </w:tcPr>
          <w:p>
            <w:r>
              <w:t>Atorvastatine</w:t>
            </w:r>
          </w:p>
        </w:tc>
        <w:tc>
          <w:tcPr>
            <w:tcW w:type="dxa" w:w="2880"/>
          </w:tcPr>
          <w:p>
            <w:r>
              <w:t>Behandeling van cardiovasculair risico</w:t>
            </w:r>
          </w:p>
        </w:tc>
      </w:tr>
    </w:tbl>
    <w:p>
      <w:r>
        <w:t>Het is bedoeld om deze middelen zo snel mogelijk goed in te zetten, omdat de combinatie een grote invloed heeft op de belangrijkste bedreigingen bij chronische nierschade: hart- en vaatziekten, nierfalen en sterfte. De behandeling werd lang vaak stap voor stap gestart, maar er wordt steeds meer gedacht aan zo snel mogelijk en waar mogelijk gelijktijdig starten om het risico op complicaties snel te verlagen.</w:t>
      </w:r>
    </w:p>
    <w:p>
      <w:r>
        <w:rPr>
          <w:b/>
        </w:rPr>
        <w:t>Aandachtsvraag:</w:t>
      </w:r>
      <w:r>
        <w:t xml:space="preserve"> Wat is de basis van de behandeling?  </w:t>
        <w:br/>
      </w:r>
      <w:r>
        <w:rPr>
          <w:b/>
        </w:rPr>
        <w:t>Mini-antwoord:</w:t>
      </w:r>
      <w:r>
        <w:t xml:space="preserve"> Eerst leefstijl, daarna de kernmedicatie met RAAS-remming, SGLT2-remming en bij 50+ een statine.</w:t>
      </w:r>
    </w:p>
    <w:p>
      <w:pPr>
        <w:pStyle w:val="Heading4"/>
      </w:pPr>
      <w:r>
        <w:t>Bloeddruk, consultatie en conservatieve behandeling</w:t>
      </w:r>
    </w:p>
    <w:p>
      <w:pPr>
        <w:pStyle w:val="Heading4"/>
      </w:pPr>
      <w:r>
        <w:t>Bloeddrukregulatie</w:t>
      </w:r>
    </w:p>
    <w:p>
      <w:r>
        <w:t xml:space="preserve">Bloeddrukregulatie is erg belangrijk bij chronische nierschade. De meeste evidentie is er voor een streefwaarde van </w:t>
      </w:r>
      <w:r>
        <w:rPr>
          <w:b/>
        </w:rPr>
        <w:t>&lt;130/80 mmHg</w:t>
      </w:r>
      <w:r>
        <w:t xml:space="preserve">. Er is ook een internationale richtlijn die een nog strengere grens van </w:t>
      </w:r>
      <w:r>
        <w:rPr>
          <w:b/>
        </w:rPr>
        <w:t>&lt;120/80 mmHg</w:t>
      </w:r>
      <w:r>
        <w:t xml:space="preserve"> voorstelt, maar dat advies is gebaseerd op één grote studie.</w:t>
      </w:r>
    </w:p>
    <w:p>
      <w:r>
        <w:t>Strakke bloeddrukregulatie helpt om hart- en vaatziekten en sterfte te voorkomen. Het effect op het behoud van nierfunctie is beperkt of afwezig vergeleken met een minder strakke bloeddrukregulatie. Ook bij ouderen geldt deze strikte bloeddrukstreefwaarde, al kan een lagere bloeddruk daar soms minder goed worden verdragen door klachten of orthostase. Dan wordt gestreefd naar een zo laag mogelijke bloeddruk die nog goed verdragen wordt.</w:t>
      </w:r>
    </w:p>
    <w:p>
      <w:pPr>
        <w:pStyle w:val="Heading4"/>
      </w:pPr>
      <w:r>
        <w:t>Wanneer overleg of verwijzen?</w:t>
      </w:r>
    </w:p>
    <w:p>
      <w:r>
        <w:t>Een internist-nefroloog moet worden geconsulteerd of een patiënt moet worden verwezen:</w:t>
      </w:r>
    </w:p>
    <w:p>
      <w:pPr>
        <w:pStyle w:val="ListBullet"/>
      </w:pPr>
      <w:r>
        <w:t xml:space="preserve">bij een </w:t>
      </w:r>
      <w:r>
        <w:rPr>
          <w:b/>
        </w:rPr>
        <w:t>acute verslechtering</w:t>
      </w:r>
      <w:r>
        <w:t>;</w:t>
      </w:r>
    </w:p>
    <w:p>
      <w:pPr>
        <w:pStyle w:val="ListBullet"/>
      </w:pPr>
      <w:r>
        <w:t xml:space="preserve">bij verdenking op een </w:t>
      </w:r>
      <w:r>
        <w:rPr>
          <w:b/>
        </w:rPr>
        <w:t>nierziekte</w:t>
      </w:r>
      <w:r>
        <w:t>;</w:t>
      </w:r>
    </w:p>
    <w:p>
      <w:pPr>
        <w:pStyle w:val="ListBullet"/>
      </w:pPr>
      <w:r>
        <w:t xml:space="preserve">bij een </w:t>
      </w:r>
      <w:r>
        <w:rPr>
          <w:b/>
        </w:rPr>
        <w:t>snelle daling van de nierfunctie</w:t>
      </w:r>
      <w:r>
        <w:t>.</w:t>
      </w:r>
    </w:p>
    <w:p>
      <w:r>
        <w:t xml:space="preserve">Een daling van meer dan </w:t>
      </w:r>
      <w:r>
        <w:rPr>
          <w:b/>
        </w:rPr>
        <w:t>5 ml/min per jaar</w:t>
      </w:r>
      <w:r>
        <w:t xml:space="preserve">, vastgesteld met minstens </w:t>
      </w:r>
      <w:r>
        <w:rPr>
          <w:b/>
        </w:rPr>
        <w:t>3 metingen</w:t>
      </w:r>
      <w:r>
        <w:t>, wordt daarbij als grens genoemd.</w:t>
      </w:r>
    </w:p>
    <w:p>
      <w:pPr>
        <w:pStyle w:val="Heading4"/>
      </w:pPr>
      <w:r>
        <w:t>Conservatieve behandeling</w:t>
      </w:r>
    </w:p>
    <w:p>
      <w:r>
        <w:t xml:space="preserve">Conservatieve behandeling betekent dat bij nierfalen en het optreden van symptomen wordt gekozen voor behandeling van klachten, </w:t>
      </w:r>
      <w:r>
        <w:rPr>
          <w:b/>
        </w:rPr>
        <w:t>zonder</w:t>
      </w:r>
      <w:r>
        <w:t xml:space="preserve"> nierfunctievervangende behandeling zoals dialyse of niertransplantatie. Dit is een belangrijke optie, zeker bij oudere en kwetsbare patiënten. De keuze is altijd individueel en wordt vaak gemaakt na uitvoerig gesprek met de patiënt en eventueel familie of naasten.</w:t>
      </w:r>
    </w:p>
    <w:p>
      <w:pPr>
        <w:pStyle w:val="Heading4"/>
      </w:pPr>
      <w:r>
        <w:t>Samenvatting</w:t>
      </w:r>
    </w:p>
    <w:p>
      <w:r>
        <w:t>Chronische nierschade is langdurige nierschade van minstens 3 maanden, meestal herkenbaar aan een eGFR onder 60 ml/min en/of albuminurie of andere structurele afwijkingen. De aandoening komt veel voor, vooral bij oudere mensen en bij patiënten met comorbiditeit. De belangrijkste oorzaken zijn diabetes, hypertensie en vaatlijden, maar de oorzaak blijft vaak onduidelijk. Chronische nierschade is progressief, kan leiden tot veel klachten en complicaties, en verhoogt vooral het risico op hart- en vaatziekten, nierfalen en sterfte. De behandeling richt zich daarom op leefstijl, bloeddrukregulatie en kernmedicatie zoals RAAS-remming, SGLT2-remming en statines, met daarnaast aandacht voor verwijzing, follow-up en eventueel conservatieve zorg.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