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7 – Niertransplantatie</w:t>
      </w:r>
    </w:p>
    <w:p>
      <w:pPr>
        <w:pStyle w:val="Heading4"/>
      </w:pPr>
      <w:r>
        <w:t>Leerdoelen</w:t>
      </w:r>
    </w:p>
    <w:p>
      <w:r>
        <w:t>Na het doorlopen van deze stof kun je:</w:t>
      </w:r>
    </w:p>
    <w:p>
      <w:pPr>
        <w:pStyle w:val="ListBullet"/>
      </w:pPr>
      <w:r>
        <w:t>de principes van niertransplantatie uitleggen;</w:t>
      </w:r>
    </w:p>
    <w:p>
      <w:pPr>
        <w:pStyle w:val="ListBullet"/>
      </w:pPr>
      <w:r>
        <w:t>de geschiedenis van de immunosuppressiva herkennen;</w:t>
      </w:r>
    </w:p>
    <w:p>
      <w:pPr>
        <w:pStyle w:val="ListBullet"/>
      </w:pPr>
      <w:r>
        <w:t>de meest voorkomende complicaties van niertransplantatie benoemen en beredeneren, zowel op korte als op lange termijn.</w:t>
      </w:r>
    </w:p>
    <w:p>
      <w:pPr>
        <w:pStyle w:val="Heading4"/>
      </w:pPr>
      <w:r>
        <w:t>Niertransplantatie in vogelvlucht</w:t>
      </w:r>
    </w:p>
    <w:p>
      <w:r>
        <w:t>Een niertransplantatie is meer dan alleen het plaatsen van een donororgaan. Er is ook een ontvanger nodig die de operatie kan ondergaan en voldoende beoordeeld is om de ingreep veilig te laten verlopen. De patiënt die een transplantatie nodig heeft, heeft per definitie nierfalen en is daardoor kwetsbaar. Daarom start de voorbereiding op tijd, bij voorkeur al ongeveer één jaar voordat de eGFR onder de 15 ml/min komt.</w:t>
      </w:r>
    </w:p>
    <w:p>
      <w:r>
        <w:t>De screening gebeurt meestal in een gecombineerd spreekuur, waarbij meerdere zorgverleners betrokken zijn, zoals de internist-nefroloog, de chirurg en vaak ook andere disciplines. De exacte diepgang van de screening kan verschillen. Sommige onderdelen zijn vrij standaard, terwijl andere onderdelen, vooral de cardiovasculaire screening, internationaal onderwerp van discussie zijn.</w:t>
      </w:r>
    </w:p>
    <w:p>
      <w:r>
        <w:t>Belangrijke onderdelen van de voorbereiding zijn:</w:t>
      </w:r>
    </w:p>
    <w:p>
      <w:pPr>
        <w:pStyle w:val="ListBullet"/>
      </w:pPr>
      <w:r>
        <w:t>bloedgroepbepaling;</w:t>
      </w:r>
    </w:p>
    <w:p>
      <w:pPr>
        <w:pStyle w:val="ListBullet"/>
      </w:pPr>
      <w:r>
        <w:t>HLA-typering en bepaling van anti-HLA-antistoffen;</w:t>
      </w:r>
    </w:p>
    <w:p>
      <w:pPr>
        <w:pStyle w:val="ListBullet"/>
      </w:pPr>
      <w:r>
        <w:t>medische screening van andere orgaansystemen, bijvoorbeeld de lever;</w:t>
      </w:r>
    </w:p>
    <w:p>
      <w:pPr>
        <w:pStyle w:val="ListBullet"/>
      </w:pPr>
      <w:r>
        <w:t>beoordeling van het risico op recidief nierziekte;</w:t>
      </w:r>
    </w:p>
    <w:p>
      <w:pPr>
        <w:pStyle w:val="ListBullet"/>
      </w:pPr>
      <w:r>
        <w:t>chirurgische beoordeling.</w:t>
      </w:r>
    </w:p>
    <w:p>
      <w:r>
        <w:rPr>
          <w:b/>
        </w:rPr>
        <w:t>Aandacht-vraag:</w:t>
      </w:r>
      <w:r>
        <w:t xml:space="preserve"> Waarom begint men al zo vroeg met screening?  </w:t>
        <w:br/>
      </w:r>
      <w:r>
        <w:rPr>
          <w:b/>
        </w:rPr>
        <w:t>Mini-antwoord:</w:t>
      </w:r>
      <w:r>
        <w:t xml:space="preserve"> Omdat de voorbereiding tijd kost en de nierfunctie geleidelijk slechter wordt; het is dus belangrijk om niet te laat te starten.</w:t>
      </w:r>
    </w:p>
    <w:p>
      <w:pPr>
        <w:pStyle w:val="Heading5"/>
      </w:pPr>
      <w:r>
        <w:t>Tabel 1. Belangrijke onderdelen van de pretransplantatiescreening</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Doel</w:t>
            </w:r>
          </w:p>
        </w:tc>
      </w:tr>
      <w:tr>
        <w:tc>
          <w:tcPr>
            <w:tcW w:type="dxa" w:w="4320"/>
          </w:tcPr>
          <w:p>
            <w:r>
              <w:t>Bloedgroep</w:t>
            </w:r>
          </w:p>
        </w:tc>
        <w:tc>
          <w:tcPr>
            <w:tcW w:type="dxa" w:w="4320"/>
          </w:tcPr>
          <w:p>
            <w:r>
              <w:t>Vaststellen van compatibiliteit</w:t>
            </w:r>
          </w:p>
        </w:tc>
      </w:tr>
      <w:tr>
        <w:tc>
          <w:tcPr>
            <w:tcW w:type="dxa" w:w="4320"/>
          </w:tcPr>
          <w:p>
            <w:r>
              <w:t>HLA-typering en anti-HLA-antistoffen</w:t>
            </w:r>
          </w:p>
        </w:tc>
        <w:tc>
          <w:tcPr>
            <w:tcW w:type="dxa" w:w="4320"/>
          </w:tcPr>
          <w:p>
            <w:r>
              <w:t>Inschatten van immunologisch risico</w:t>
            </w:r>
          </w:p>
        </w:tc>
      </w:tr>
      <w:tr>
        <w:tc>
          <w:tcPr>
            <w:tcW w:type="dxa" w:w="4320"/>
          </w:tcPr>
          <w:p>
            <w:r>
              <w:t>Screening van andere organen</w:t>
            </w:r>
          </w:p>
        </w:tc>
        <w:tc>
          <w:tcPr>
            <w:tcW w:type="dxa" w:w="4320"/>
          </w:tcPr>
          <w:p>
            <w:r>
              <w:t>Nagaan of de patiënt de operatie aankan</w:t>
            </w:r>
          </w:p>
        </w:tc>
      </w:tr>
      <w:tr>
        <w:tc>
          <w:tcPr>
            <w:tcW w:type="dxa" w:w="4320"/>
          </w:tcPr>
          <w:p>
            <w:r>
              <w:t>Beoordeling recidief nierziekte</w:t>
            </w:r>
          </w:p>
        </w:tc>
        <w:tc>
          <w:tcPr>
            <w:tcW w:type="dxa" w:w="4320"/>
          </w:tcPr>
          <w:p>
            <w:r>
              <w:t>Inschatten of de oorspronkelijke nierziekte kan terugkomen</w:t>
            </w:r>
          </w:p>
        </w:tc>
      </w:tr>
      <w:tr>
        <w:tc>
          <w:tcPr>
            <w:tcW w:type="dxa" w:w="4320"/>
          </w:tcPr>
          <w:p>
            <w:r>
              <w:t>Chirurgische beoordeling</w:t>
            </w:r>
          </w:p>
        </w:tc>
        <w:tc>
          <w:tcPr>
            <w:tcW w:type="dxa" w:w="4320"/>
          </w:tcPr>
          <w:p>
            <w:r>
              <w:t>Bepalen of de operatie technisch goed uitvoerbaar is</w:t>
            </w:r>
          </w:p>
        </w:tc>
      </w:tr>
    </w:tbl>
    <w:p>
      <w:pPr>
        <w:pStyle w:val="Heading4"/>
      </w:pPr>
      <w:r>
        <w:t>Chirurgie van niertransplantatie</w:t>
      </w:r>
    </w:p>
    <w:p>
      <w:r>
        <w:t>Bij de chirurgische beoordeling kijkt men vooral naar de vaten, de beschikbare ruimte en eventuele technische belemmeringen. De nier wordt meestal geplaatst in de fossa iliaca, dus laag in de buik. Daar moeten de bloedvaten aansluiten. Daarom onderzoekt de chirurg vooral de arteriële en veneuze vaten in dat gebied.</w:t>
      </w:r>
    </w:p>
    <w:p>
      <w:r>
        <w:t>De beoordeling richt zich op verschillende punten:</w:t>
      </w:r>
    </w:p>
    <w:p>
      <w:pPr>
        <w:pStyle w:val="ListBullet"/>
      </w:pPr>
      <w:r>
        <w:t>de vasculaire voorgeschiedenis;</w:t>
      </w:r>
    </w:p>
    <w:p>
      <w:pPr>
        <w:pStyle w:val="ListBullet"/>
      </w:pPr>
      <w:r>
        <w:t>aanwezige risicofactoren voor vaatlijden;</w:t>
      </w:r>
    </w:p>
    <w:p>
      <w:pPr>
        <w:pStyle w:val="ListBullet"/>
      </w:pPr>
      <w:r>
        <w:t>klachten passend bij claudicatio intermittens;</w:t>
      </w:r>
    </w:p>
    <w:p>
      <w:pPr>
        <w:pStyle w:val="ListBullet"/>
      </w:pPr>
      <w:r>
        <w:t>de kwaliteit van de pulsaties van de bloedvaten;</w:t>
      </w:r>
    </w:p>
    <w:p>
      <w:pPr>
        <w:pStyle w:val="ListBullet"/>
      </w:pPr>
      <w:r>
        <w:t>eventuele souffles bij auscultatie van de aorto-iliacale en femorale vaten;</w:t>
      </w:r>
    </w:p>
    <w:p>
      <w:pPr>
        <w:pStyle w:val="ListBullet"/>
      </w:pPr>
      <w:r>
        <w:t>de enkels-armindex.</w:t>
      </w:r>
    </w:p>
    <w:p>
      <w:r>
        <w:t>Bij aanvullend onderzoek kan gedacht worden aan CT-angiografie van de aorto-iliacale vaten met contrast, als de patiënt nog niet dialyseert liever zonder contrast, of aan duplexonderzoek van de aorto-iliacale vaten. Een CT zonder contrast kan ook worden gebruikt om calcificaties op te sporen.</w:t>
      </w:r>
    </w:p>
    <w:p>
      <w:r>
        <w:t>De plaatsing van de nier hangt niet alleen af van de vaten, maar ook van de beschikbare ruimte in de buik. Overgewicht, eerdere operaties, een eerdere niertransplantatie, een liesbreuk of grote cystennieren kunnen de operatie lastiger maken. Soms is een cystenier zo groot dat er eerst een nier verwijderd moet worden om voldoende ruimte te creëren. Dat is vervelend, omdat de patiënt dan een extra operatie nodig heeft en tijdelijk zelfs restnierfunctie kan verliezen, waarna mogelijk dialyse nodig is.</w:t>
      </w:r>
    </w:p>
    <w:p>
      <w:r>
        <w:rPr>
          <w:b/>
        </w:rPr>
        <w:t>Aandacht-vraag:</w:t>
      </w:r>
      <w:r>
        <w:t xml:space="preserve"> Waar let de chirurg vooral op bij de voorbereiding?  </w:t>
        <w:br/>
      </w:r>
      <w:r>
        <w:rPr>
          <w:b/>
        </w:rPr>
        <w:t>Mini-antwoord:</w:t>
      </w:r>
      <w:r>
        <w:t xml:space="preserve"> Op de bloedvaten, de beschikbare ruimte voor de nier en op factoren die de operatie technisch moeilijk maken.</w:t>
      </w:r>
    </w:p>
    <w:p>
      <w:pPr>
        <w:pStyle w:val="Heading4"/>
      </w:pPr>
      <w:r>
        <w:t>Geschiedenis van de immunosuppressiva</w:t>
      </w:r>
    </w:p>
    <w:p>
      <w:r>
        <w:t>De behandeling van niertransplantatie is sterk afhankelijk van immunosuppressiva. Tegenwoordig vormen tacrolimus, mycofenolaat mofetil en prednison de hoekstenen van de behandeling. In het ErasmusMC stoppen de meeste patiënten na 3 tot 4 maanden met prednison.</w:t>
      </w:r>
    </w:p>
    <w:p>
      <w:r>
        <w:t xml:space="preserve">De ontwikkeling van immunosuppressiva begon echter al veel eerder. In de jaren 70 werd gezocht naar nieuwe middelen, aanvankelijk vooral met het idee om bacteriële infecties te bestrijden. Na de ontdekking en wijdverspreide toepassing van penicilline ontstond namelijk resistentie en was er behoefte aan nieuwe antibacteriële middelen. Uit bodemonderzoek in Hardangervidda in Noorwegen werd uiteindelijk de schimmel </w:t>
      </w:r>
      <w:r>
        <w:rPr>
          <w:b/>
        </w:rPr>
        <w:t>Tolypocladium inflatum</w:t>
      </w:r>
      <w:r>
        <w:t xml:space="preserve"> geïsoleerd. Deze schimmel bleek stoffen te produceren die later bekend werden als </w:t>
      </w:r>
      <w:r>
        <w:rPr>
          <w:b/>
        </w:rPr>
        <w:t>ciclosporine A</w:t>
      </w:r>
      <w:r>
        <w:t xml:space="preserve"> en </w:t>
      </w:r>
      <w:r>
        <w:rPr>
          <w:b/>
        </w:rPr>
        <w:t>ciclosporine B</w:t>
      </w:r>
      <w:r>
        <w:t>.</w:t>
      </w:r>
    </w:p>
    <w:p>
      <w:r>
        <w:t xml:space="preserve">Ciclosporine A bleek niet vooral antibacterieel, maar wel sterk remmend op antistofvorming en cellulaire immuniteit. Daarmee werd het mogelijk om transplantaties met betere resultaten uit te voeren. Later kwam </w:t>
      </w:r>
      <w:r>
        <w:rPr>
          <w:b/>
        </w:rPr>
        <w:t>tacrolimus</w:t>
      </w:r>
      <w:r>
        <w:t xml:space="preserve"> erbij, afkomstig van de bacterie </w:t>
      </w:r>
      <w:r>
        <w:rPr>
          <w:b/>
        </w:rPr>
        <w:t>Streptomyces tsukubaensis</w:t>
      </w:r>
      <w:r>
        <w:t xml:space="preserve">. Dit middel werd eerst ontwikkeld als FK506 en later wereldwijd ingezet voor transplantatiepatiënten. Daarna kwam ook </w:t>
      </w:r>
      <w:r>
        <w:rPr>
          <w:b/>
        </w:rPr>
        <w:t>mycofenolaat mofetil</w:t>
      </w:r>
      <w:r>
        <w:t xml:space="preserve"> beschikbaar. De ontwikkeling van deze middelen draaide uiteindelijk vooral om het beter benutten van beschikbare immunosuppressie.</w:t>
      </w:r>
    </w:p>
    <w:p>
      <w:pPr>
        <w:pStyle w:val="Heading5"/>
      </w:pPr>
      <w:r>
        <w:t>Tabel 2. Belangrijke mijlpalen in de geschiedenis van immunosuppressiva</w:t>
      </w:r>
    </w:p>
    <w:tbl>
      <w:tblPr>
        <w:tblStyle w:val="TableGrid"/>
        <w:tblW w:type="auto" w:w="0"/>
        <w:tblLook w:firstColumn="1" w:firstRow="1" w:lastColumn="0" w:lastRow="0" w:noHBand="0" w:noVBand="1" w:val="04A0"/>
      </w:tblPr>
      <w:tblGrid>
        <w:gridCol w:w="2880"/>
        <w:gridCol w:w="2880"/>
        <w:gridCol w:w="2880"/>
      </w:tblGrid>
      <w:tr>
        <w:tc>
          <w:tcPr>
            <w:tcW w:type="dxa" w:w="2880"/>
          </w:tcPr>
          <w:p>
            <w:r>
              <w:t>Middel</w:t>
            </w:r>
          </w:p>
        </w:tc>
        <w:tc>
          <w:tcPr>
            <w:tcW w:type="dxa" w:w="2880"/>
          </w:tcPr>
          <w:p>
            <w:r>
              <w:t>Oorsprong / ontdekking</w:t>
            </w:r>
          </w:p>
        </w:tc>
        <w:tc>
          <w:tcPr>
            <w:tcW w:type="dxa" w:w="2880"/>
          </w:tcPr>
          <w:p>
            <w:r>
              <w:t>Belang</w:t>
            </w:r>
          </w:p>
        </w:tc>
      </w:tr>
      <w:tr>
        <w:tc>
          <w:tcPr>
            <w:tcW w:type="dxa" w:w="2880"/>
          </w:tcPr>
          <w:p>
            <w:r>
              <w:t>Ciclosporine A</w:t>
            </w:r>
          </w:p>
        </w:tc>
        <w:tc>
          <w:tcPr>
            <w:tcW w:type="dxa" w:w="2880"/>
          </w:tcPr>
          <w:p>
            <w:r>
              <w:t>Schimmel Tolypocladium inflatum</w:t>
            </w:r>
          </w:p>
        </w:tc>
        <w:tc>
          <w:tcPr>
            <w:tcW w:type="dxa" w:w="2880"/>
          </w:tcPr>
          <w:p>
            <w:r>
              <w:t>Doorbraak in transplantatiegeneeskunde</w:t>
            </w:r>
          </w:p>
        </w:tc>
      </w:tr>
      <w:tr>
        <w:tc>
          <w:tcPr>
            <w:tcW w:type="dxa" w:w="2880"/>
          </w:tcPr>
          <w:p>
            <w:r>
              <w:t>Tacrolimus</w:t>
            </w:r>
          </w:p>
        </w:tc>
        <w:tc>
          <w:tcPr>
            <w:tcW w:type="dxa" w:w="2880"/>
          </w:tcPr>
          <w:p>
            <w:r>
              <w:t>Bacterie Streptomyces tsukubaensis</w:t>
            </w:r>
          </w:p>
        </w:tc>
        <w:tc>
          <w:tcPr>
            <w:tcW w:type="dxa" w:w="2880"/>
          </w:tcPr>
          <w:p>
            <w:r>
              <w:t>Belangrijke pijler in moderne transplantatiezorg</w:t>
            </w:r>
          </w:p>
        </w:tc>
      </w:tr>
      <w:tr>
        <w:tc>
          <w:tcPr>
            <w:tcW w:type="dxa" w:w="2880"/>
          </w:tcPr>
          <w:p>
            <w:r>
              <w:t>Mycofenolaat mofetil</w:t>
            </w:r>
          </w:p>
        </w:tc>
        <w:tc>
          <w:tcPr>
            <w:tcW w:type="dxa" w:w="2880"/>
          </w:tcPr>
          <w:p>
            <w:r>
              <w:t>Later toegevoegd in de behandeling</w:t>
            </w:r>
          </w:p>
        </w:tc>
        <w:tc>
          <w:tcPr>
            <w:tcW w:type="dxa" w:w="2880"/>
          </w:tcPr>
          <w:p>
            <w:r>
              <w:t>Onderdeel van de huidige combinatiebehandeling</w:t>
            </w:r>
          </w:p>
        </w:tc>
      </w:tr>
    </w:tbl>
    <w:p>
      <w:pPr>
        <w:pStyle w:val="Heading4"/>
      </w:pPr>
      <w:r>
        <w:t>Tacrolimus: de praktijk van het middel</w:t>
      </w:r>
    </w:p>
    <w:p>
      <w:r>
        <w:t>Tacrolimus is een belangrijke hoeksteen in de behandeling na niertransplantatie. Het middel komt in drie vormen voor:</w:t>
      </w:r>
    </w:p>
    <w:p>
      <w:pPr>
        <w:pStyle w:val="ListBullet"/>
      </w:pPr>
      <w:r>
        <w:rPr>
          <w:b/>
        </w:rPr>
        <w:t>kortwerkend, directe afgifte</w:t>
      </w:r>
      <w:r>
        <w:t xml:space="preserve">: tweemaal daags, merknaam </w:t>
      </w:r>
      <w:r>
        <w:rPr>
          <w:b/>
        </w:rPr>
        <w:t>Prograft</w:t>
      </w:r>
      <w:r>
        <w:t>;</w:t>
      </w:r>
    </w:p>
    <w:p>
      <w:pPr>
        <w:pStyle w:val="ListBullet"/>
      </w:pPr>
      <w:r>
        <w:rPr>
          <w:b/>
        </w:rPr>
        <w:t>langwerkend, vertraagde afgifte</w:t>
      </w:r>
      <w:r>
        <w:t xml:space="preserve">: eenmaal daags, merknaam </w:t>
      </w:r>
      <w:r>
        <w:rPr>
          <w:b/>
        </w:rPr>
        <w:t>Advagraf</w:t>
      </w:r>
      <w:r>
        <w:t>;</w:t>
      </w:r>
    </w:p>
    <w:p>
      <w:pPr>
        <w:pStyle w:val="ListBullet"/>
      </w:pPr>
      <w:r>
        <w:rPr>
          <w:b/>
        </w:rPr>
        <w:t>langwerkend, aangepaste afgifte / Meltdose-techniek</w:t>
      </w:r>
      <w:r>
        <w:t xml:space="preserve">: eenmaal daags, merknaam </w:t>
      </w:r>
      <w:r>
        <w:rPr>
          <w:b/>
        </w:rPr>
        <w:t>Envarsus</w:t>
      </w:r>
      <w:r>
        <w:t>.</w:t>
      </w:r>
    </w:p>
    <w:p>
      <w:r>
        <w:t xml:space="preserve">Deze drie formuleringen zijn </w:t>
      </w:r>
      <w:r>
        <w:rPr>
          <w:b/>
        </w:rPr>
        <w:t>niet onderling vergelijkbaar</w:t>
      </w:r>
      <w:r>
        <w:t>. De langwerkende variant met aangepaste afgifte wordt ongeveer 30% beter uit de darm opgenomen en kan daarom in een lagere dosering worden gegeven.</w:t>
      </w:r>
    </w:p>
    <w:p>
      <w:r>
        <w:t xml:space="preserve">Tacrolimus wordt gedoseerd op basis van </w:t>
      </w:r>
      <w:r>
        <w:rPr>
          <w:b/>
        </w:rPr>
        <w:t>dalspiegels</w:t>
      </w:r>
      <w:r>
        <w:t xml:space="preserve"> of op basis van de </w:t>
      </w:r>
      <w:r>
        <w:rPr>
          <w:b/>
        </w:rPr>
        <w:t>area under the curve (AUC)</w:t>
      </w:r>
      <w:r>
        <w:t xml:space="preserve">. Dit heet </w:t>
      </w:r>
      <w:r>
        <w:rPr>
          <w:b/>
        </w:rPr>
        <w:t>therapeutic drug monitoring</w:t>
      </w:r>
      <w:r>
        <w:t xml:space="preserve">. De reden daarvoor is dat tacrolimus via </w:t>
      </w:r>
      <w:r>
        <w:rPr>
          <w:b/>
        </w:rPr>
        <w:t>cytochroom P450 3A4/5</w:t>
      </w:r>
      <w:r>
        <w:t xml:space="preserve"> wordt afgebroken en dat de werking van deze enzymen sterk kan verschillen tussen personen. Daardoor is de benodigde dosis per patiënt heel verschillend. Zowel 2 × 1 mg als 2 × 10 mg kan dus een passende dosering zijn, afhankelijk van de individuele situatie.</w:t>
      </w:r>
    </w:p>
    <w:p>
      <w:pPr>
        <w:pStyle w:val="Heading5"/>
      </w:pPr>
      <w:r>
        <w:t>Interacties en opname</w:t>
      </w:r>
    </w:p>
    <w:p>
      <w:r>
        <w:t>Tacrolimus heeft belangrijke interacties met andere middelen die CYP3A remmen of juist induceren. Denk aan:</w:t>
      </w:r>
    </w:p>
    <w:p>
      <w:pPr>
        <w:pStyle w:val="ListBullet"/>
      </w:pPr>
      <w:r>
        <w:t>macrolide antibiotica;</w:t>
      </w:r>
    </w:p>
    <w:p>
      <w:pPr>
        <w:pStyle w:val="ListBullet"/>
      </w:pPr>
      <w:r>
        <w:t>anti-epileptica;</w:t>
      </w:r>
    </w:p>
    <w:p>
      <w:pPr>
        <w:pStyle w:val="ListBullet"/>
      </w:pPr>
      <w:r>
        <w:t>amiodaron;</w:t>
      </w:r>
    </w:p>
    <w:p>
      <w:pPr>
        <w:pStyle w:val="ListBullet"/>
      </w:pPr>
      <w:r>
        <w:t>rifampicine;</w:t>
      </w:r>
    </w:p>
    <w:p>
      <w:pPr>
        <w:pStyle w:val="ListBullet"/>
      </w:pPr>
      <w:r>
        <w:t>antischimmelmiddelen uit de azolgroep, zoals fluconazol.</w:t>
      </w:r>
    </w:p>
    <w:p>
      <w:r>
        <w:t xml:space="preserve">Daarnaast is diarree belangrijk. Diarree kan leiden tot </w:t>
      </w:r>
      <w:r>
        <w:rPr>
          <w:b/>
        </w:rPr>
        <w:t>versterkte absorptie</w:t>
      </w:r>
      <w:r>
        <w:t xml:space="preserve"> van tacrolimus en ciclosporine. Dat komt doordat de </w:t>
      </w:r>
      <w:r>
        <w:rPr>
          <w:b/>
        </w:rPr>
        <w:t>P-glycoproteïne</w:t>
      </w:r>
      <w:r>
        <w:t xml:space="preserve"> in de darm normaal gesproken een deel van het opgenomen middel weer naar buiten pompt, en doordat ook de afbraak in de darmwand via CYP3A4 afneemt. Bij diarree wordt dus meer tacrolimus opgenomen, waardoor de spiegel sterk kan stijgen.</w:t>
      </w:r>
    </w:p>
    <w:p>
      <w:r>
        <w:rPr>
          <w:b/>
        </w:rPr>
        <w:t>Aandacht-vraag:</w:t>
      </w:r>
      <w:r>
        <w:t xml:space="preserve"> Waarom is diarree bij een patiënt op tacrolimus zo belangrijk?  </w:t>
        <w:br/>
      </w:r>
      <w:r>
        <w:rPr>
          <w:b/>
        </w:rPr>
        <w:t>Mini-antwoord:</w:t>
      </w:r>
      <w:r>
        <w:t xml:space="preserve"> Omdat de opname toeneemt en de bloedspiegel daardoor gevaarlijk hoog kan worden.</w:t>
      </w:r>
    </w:p>
    <w:p>
      <w:pPr>
        <w:pStyle w:val="Heading4"/>
      </w:pPr>
      <w:r>
        <w:t>Nefrotoxiciteit van tacrolimus</w:t>
      </w:r>
    </w:p>
    <w:p>
      <w:r>
        <w:t>Tacrolimus is effectief, maar kan ook nefrotoxisch zijn. Dat is extra belangrijk bij niertransplantatie, omdat het nieuwe orgaan juist beschermd moet worden. De toxiciteit wordt verdeeld in een acute en een chronische vorm.</w:t>
      </w:r>
    </w:p>
    <w:p>
      <w:pPr>
        <w:pStyle w:val="Heading5"/>
      </w:pPr>
      <w:r>
        <w:t>Tabel 3. Acute en chronische nefrotoxiciteit van tacrolimus</w:t>
      </w:r>
    </w:p>
    <w:tbl>
      <w:tblPr>
        <w:tblStyle w:val="TableGrid"/>
        <w:tblW w:type="auto" w:w="0"/>
        <w:tblLook w:firstColumn="1" w:firstRow="1" w:lastColumn="0" w:lastRow="0" w:noHBand="0" w:noVBand="1" w:val="04A0"/>
      </w:tblPr>
      <w:tblGrid>
        <w:gridCol w:w="4320"/>
        <w:gridCol w:w="4320"/>
      </w:tblGrid>
      <w:tr>
        <w:tc>
          <w:tcPr>
            <w:tcW w:type="dxa" w:w="4320"/>
          </w:tcPr>
          <w:p>
            <w:r>
              <w:t>Acute nefrotoxiciteit</w:t>
            </w:r>
          </w:p>
        </w:tc>
        <w:tc>
          <w:tcPr>
            <w:tcW w:type="dxa" w:w="4320"/>
          </w:tcPr>
          <w:p>
            <w:r>
              <w:t>Chronische nefrotoxiciteit</w:t>
            </w:r>
          </w:p>
        </w:tc>
      </w:tr>
      <w:tr>
        <w:tc>
          <w:tcPr>
            <w:tcW w:type="dxa" w:w="4320"/>
          </w:tcPr>
          <w:p>
            <w:r>
              <w:t>Tubulaire dysfunctie</w:t>
            </w:r>
          </w:p>
        </w:tc>
        <w:tc>
          <w:tcPr>
            <w:tcW w:type="dxa" w:w="4320"/>
          </w:tcPr>
          <w:p>
            <w:r>
              <w:t>Arteriolaire hyalinose</w:t>
            </w:r>
          </w:p>
        </w:tc>
      </w:tr>
      <w:tr>
        <w:tc>
          <w:tcPr>
            <w:tcW w:type="dxa" w:w="4320"/>
          </w:tcPr>
          <w:p>
            <w:r>
              <w:t>Vasoconstrictie van de afferente arteriole in het glomerulus</w:t>
            </w:r>
          </w:p>
        </w:tc>
        <w:tc>
          <w:tcPr>
            <w:tcW w:type="dxa" w:w="4320"/>
          </w:tcPr>
          <w:p>
            <w:r>
              <w:t>Glomerulosclerose</w:t>
            </w:r>
          </w:p>
        </w:tc>
      </w:tr>
      <w:tr>
        <w:tc>
          <w:tcPr>
            <w:tcW w:type="dxa" w:w="4320"/>
          </w:tcPr>
          <w:p>
            <w:r>
              <w:t>Endotheeldysfunctie</w:t>
            </w:r>
          </w:p>
        </w:tc>
        <w:tc>
          <w:tcPr>
            <w:tcW w:type="dxa" w:w="4320"/>
          </w:tcPr>
          <w:p>
            <w:r>
              <w:t>Tubulaire atrofie</w:t>
            </w:r>
          </w:p>
        </w:tc>
      </w:tr>
      <w:tr>
        <w:tc>
          <w:tcPr>
            <w:tcW w:type="dxa" w:w="4320"/>
          </w:tcPr>
          <w:p>
            <w:r>
              <w:t>Interstitiële fibrose</w:t>
            </w:r>
          </w:p>
        </w:tc>
        <w:tc>
          <w:tcPr>
            <w:tcW w:type="dxa" w:w="4320"/>
          </w:tcPr>
          <w:p>
            <w:r/>
          </w:p>
        </w:tc>
      </w:tr>
    </w:tbl>
    <w:p>
      <w:r>
        <w:t>De acute effecten hangen vooral samen met vasoconstrictie, waardoor de doorbloeding en de filtratie afnemen. De chronische schade geeft juist structurele veranderingen in het nierweefsel, zoals schade aan arteriolen, glomeruli, tubuli en het interstitium. Tacrolimus en ciclosporine zijn beide nefrotoxisch.</w:t>
      </w:r>
    </w:p>
    <w:p>
      <w:pPr>
        <w:pStyle w:val="Heading4"/>
      </w:pPr>
      <w:r>
        <w:t>CMV na niertransplantatie</w:t>
      </w:r>
    </w:p>
    <w:p>
      <w:r>
        <w:t xml:space="preserve">Aan het einde van de behandeling wordt ook stilgestaan bij </w:t>
      </w:r>
      <w:r>
        <w:rPr>
          <w:b/>
        </w:rPr>
        <w:t>cytomegalovirus (CMV)</w:t>
      </w:r>
      <w:r>
        <w:t>. CMV is een belangrijk probleem bij orgaantransplantatie, maar als de diagnose op tijd wordt gesteld, is het goed behandelbaar.</w:t>
      </w:r>
    </w:p>
    <w:p>
      <w:r>
        <w:t xml:space="preserve">Vooral ontvangers die zelf </w:t>
      </w:r>
      <w:r>
        <w:rPr>
          <w:b/>
        </w:rPr>
        <w:t>CMV-seronegatief</w:t>
      </w:r>
      <w:r>
        <w:t xml:space="preserve"> zijn, lopen risico op infectie, omdat zij geen eerdere immuniteit hebben opgebouwd. De immuunsuppressie maakt de verdediging tegen het virus bovendien zwakker. Daarom is </w:t>
      </w:r>
      <w:r>
        <w:rPr>
          <w:b/>
        </w:rPr>
        <w:t>profylaxe</w:t>
      </w:r>
      <w:r>
        <w:t xml:space="preserve"> essentieel.</w:t>
      </w:r>
    </w:p>
    <w:p>
      <w:r>
        <w:t xml:space="preserve">De meest gebruikte strategie is </w:t>
      </w:r>
      <w:r>
        <w:rPr>
          <w:b/>
        </w:rPr>
        <w:t>universele profylaxe met valganciclovir</w:t>
      </w:r>
      <w:r>
        <w:t xml:space="preserve">. Dit middel wordt gegeven aan elke ontvanger die zelf seropositief is of een nier krijgt van een seropositieve donor. De profylaxe duurt meestal </w:t>
      </w:r>
      <w:r>
        <w:rPr>
          <w:b/>
        </w:rPr>
        <w:t>3 tot 6 maanden</w:t>
      </w:r>
      <w:r>
        <w:t xml:space="preserve"> en de dosering wordt aangepast aan de nierfunctie. Dat kan lastig zijn, omdat de nierfunctie na transplantatie vaak langzaam verbetert.</w:t>
      </w:r>
    </w:p>
    <w:p>
      <w:r>
        <w:t xml:space="preserve">CMV-klachten kunnen mild zijn, maar ook ernstig of zelfs levensbedreigend. Vaak ontstaan de klachten ongeveer </w:t>
      </w:r>
      <w:r>
        <w:rPr>
          <w:b/>
        </w:rPr>
        <w:t>4 weken na het stoppen van de profylaxe</w:t>
      </w:r>
      <w:r>
        <w:t>. Als je dus kort na een transplantatie een patiënt ziet, is het belangrijk om altijd te vragen welke medicatie recent is gestopt.</w:t>
      </w:r>
    </w:p>
    <w:p>
      <w:r>
        <w:t xml:space="preserve">De diagnose wordt gesteld met een </w:t>
      </w:r>
      <w:r>
        <w:rPr>
          <w:b/>
        </w:rPr>
        <w:t>PCR op CMV in het bloed</w:t>
      </w:r>
      <w:r>
        <w:t xml:space="preserve">. CMV kan ook in andere organen worden aangetoond, maar bloedonderzoek is het makkelijkst. De behandeling bestaat eveneens uit </w:t>
      </w:r>
      <w:r>
        <w:rPr>
          <w:b/>
        </w:rPr>
        <w:t>valganciclovir</w:t>
      </w:r>
      <w:r>
        <w:t xml:space="preserve">, maar dan in een </w:t>
      </w:r>
      <w:r>
        <w:rPr>
          <w:b/>
        </w:rPr>
        <w:t>hogere dosis</w:t>
      </w:r>
      <w:r>
        <w:t xml:space="preserve"> dan bij profylaxe. Bij ernstige ziekte moet de immuunsuppressie worden verminderd; meestal wordt mycofenolaat mofetil tijdelijk gestopt. Het kan enkele weken duren voordat CMV volledig uit het bloed verdwijnt. Hoe lang behandeling nodig is, hangt af van de ernst van de ziekte, of het gaat om een primaire infectie of reactivatie, en van de virale load in het bloed.</w:t>
      </w:r>
    </w:p>
    <w:p>
      <w:pPr>
        <w:pStyle w:val="Heading4"/>
      </w:pPr>
      <w:r>
        <w:t>Samenvatting</w:t>
      </w:r>
    </w:p>
    <w:p>
      <w:r>
        <w:t>Niertransplantatie vraagt om een zorgvuldige voorbereiding, omdat zowel de chirurgische haalbaarheid als de medische geschiktheid goed moeten worden beoordeeld. Belangrijke screeningonderdelen zijn bloedgroep, HLA-typering, antistoffen, andere orgaansystemen, recidiefkans van nierziekte en een chirurgische vaatbeoordeling. De operatie zelf is vooral technisch afhankelijk van de vaten en van de ruimte in de fossa iliaca.</w:t>
      </w:r>
    </w:p>
    <w:p>
      <w:r>
        <w:t>De behandeling na transplantatie draait om immunosuppressiva. Ciclosporine en later tacrolimus waren belangrijke doorbraken in de transplantatiegeneeskunde. Tacrolimus bestaat in meerdere formuleringen, wordt individueel gedoseerd met spiegels en heeft belangrijke interacties, onder andere met CYP3A-remmers en -inductoren. Diarree kan de opname juist sterk verhogen.</w:t>
      </w:r>
    </w:p>
    <w:p>
      <w:r>
        <w:t>Tacrolimus kan ook nefrotoxisch zijn, met acute effecten zoals vasoconstrictie en tubulaire dysfunctie en chronische schade zoals arteriolaire hyalinose, glomerulosclerose, tubulaire atrofie en interstitiële fibrose. Tot slot is CMV een belangrijke infectieuze complicatie na transplantatie: profylaxe met valganciclovir, bloed-PCR voor diagnose en zo nodig intensievere behandeling met tijdelijke vermindering van de immuunsuppressie zijn essentieel.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