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9 – Verdieping Chronische Nierschade</w:t>
      </w:r>
    </w:p>
    <w:p>
      <w:pPr>
        <w:pStyle w:val="Heading4"/>
      </w:pPr>
      <w:r>
        <w:t>Leerdoelen</w:t>
      </w:r>
    </w:p>
    <w:p>
      <w:r>
        <w:t>Na het doornemen van deze samenvatting ben je in staat om uit te leggen hoe de progressie van chronische nierschade (CNS) kan worden beïnvloed door:</w:t>
      </w:r>
    </w:p>
    <w:p>
      <w:pPr>
        <w:pStyle w:val="ListBullet"/>
      </w:pPr>
      <w:r>
        <w:t>leefstijl;</w:t>
      </w:r>
    </w:p>
    <w:p>
      <w:pPr>
        <w:pStyle w:val="ListBullet"/>
      </w:pPr>
      <w:r>
        <w:t>dieet;</w:t>
      </w:r>
    </w:p>
    <w:p>
      <w:pPr>
        <w:pStyle w:val="ListBullet"/>
      </w:pPr>
      <w:r>
        <w:t>aanvullende farmacotherapie.</w:t>
      </w:r>
    </w:p>
    <w:p>
      <w:pPr>
        <w:pStyle w:val="Heading4"/>
      </w:pPr>
      <w:r>
        <w:t>Chronische nierschade: waar draait de behandeling om?</w:t>
      </w:r>
    </w:p>
    <w:p>
      <w:r>
        <w:t>Bij chronische nierschade staat niet alleen de nierfunctie zelf centraal, maar vooral het remmen van verdere achteruitgang en het verkleinen van het risico op complicaties. Leefstijl en voeding vormen daarbij de basis van de behandeling. Daarnaast kunnen soms extra behandelingen nodig zijn, vooral bij problemen zoals renale anemie en metabole acidose.</w:t>
      </w:r>
    </w:p>
    <w:p>
      <w:r>
        <w:t>Een gezonde aanpak bij CNS is dus altijd breder dan alleen medicijnen. Het gaat om een combinatie van gedrag, voeding en, waar nodig, aanvullende medicatie.</w:t>
      </w:r>
    </w:p>
    <w:p>
      <w:pPr>
        <w:pStyle w:val="Heading4"/>
      </w:pPr>
      <w:r>
        <w:t>1. Leefstijl bij chronische nierschade</w:t>
      </w:r>
    </w:p>
    <w:p>
      <w:r>
        <w:t>Een gezonde leefstijl is fundamenteel bij chronische nierschade. Het doel is niet alleen om verdere nierschade te beperken, maar vooral ook om hart- en vaatziekten en sterfte te verminderen. Daarom wordt leefstijl gezien als een belangrijk onderdeel van de totale zorg voor deze patiënten.</w:t>
      </w:r>
    </w:p>
    <w:p>
      <w:r>
        <w:t>De leefstijlcomponenten worden vaak samengevat met de BRAVO-componenten:</w:t>
      </w:r>
    </w:p>
    <w:p>
      <w:r>
        <w:rPr>
          <w:b/>
        </w:rPr>
        <w:t>Tabel 1. Leefstijlcomponenten bij chronische nierschade</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Inhoud</w:t>
            </w:r>
          </w:p>
        </w:tc>
        <w:tc>
          <w:tcPr>
            <w:tcW w:type="dxa" w:w="2880"/>
          </w:tcPr>
          <w:p>
            <w:r>
              <w:t>Belang bij CNS</w:t>
            </w:r>
          </w:p>
        </w:tc>
      </w:tr>
      <w:tr>
        <w:tc>
          <w:tcPr>
            <w:tcW w:type="dxa" w:w="2880"/>
          </w:tcPr>
          <w:p>
            <w:r>
              <w:t>Beweging</w:t>
            </w:r>
          </w:p>
        </w:tc>
        <w:tc>
          <w:tcPr>
            <w:tcW w:type="dxa" w:w="2880"/>
          </w:tcPr>
          <w:p>
            <w:r>
              <w:t>Voldoende bewegen en een gezond gewicht behouden</w:t>
            </w:r>
          </w:p>
        </w:tc>
        <w:tc>
          <w:tcPr>
            <w:tcW w:type="dxa" w:w="2880"/>
          </w:tcPr>
          <w:p>
            <w:r>
              <w:t>Ondersteunt algemene gezondheid en helpt bij gewichtsbehoud of gewichtsverlies</w:t>
            </w:r>
          </w:p>
        </w:tc>
      </w:tr>
      <w:tr>
        <w:tc>
          <w:tcPr>
            <w:tcW w:type="dxa" w:w="2880"/>
          </w:tcPr>
          <w:p>
            <w:r>
              <w:t>Roken</w:t>
            </w:r>
          </w:p>
        </w:tc>
        <w:tc>
          <w:tcPr>
            <w:tcW w:type="dxa" w:w="2880"/>
          </w:tcPr>
          <w:p>
            <w:r>
              <w:t>Stoppen met roken</w:t>
            </w:r>
          </w:p>
        </w:tc>
        <w:tc>
          <w:tcPr>
            <w:tcW w:type="dxa" w:w="2880"/>
          </w:tcPr>
          <w:p>
            <w:r>
              <w:t>Vermindert risico op hart- en vaatziekten en kanker; stoppen heeft duidelijke meerwaarde</w:t>
            </w:r>
          </w:p>
        </w:tc>
      </w:tr>
      <w:tr>
        <w:tc>
          <w:tcPr>
            <w:tcW w:type="dxa" w:w="2880"/>
          </w:tcPr>
          <w:p>
            <w:r>
              <w:t>Alcohol</w:t>
            </w:r>
          </w:p>
        </w:tc>
        <w:tc>
          <w:tcPr>
            <w:tcW w:type="dxa" w:w="2880"/>
          </w:tcPr>
          <w:p>
            <w:r>
              <w:t>Beperking van alcoholgebruik</w:t>
            </w:r>
          </w:p>
        </w:tc>
        <w:tc>
          <w:tcPr>
            <w:tcW w:type="dxa" w:w="2880"/>
          </w:tcPr>
          <w:p>
            <w:r>
              <w:t>Past binnen een gezonde leefstijl</w:t>
            </w:r>
          </w:p>
        </w:tc>
      </w:tr>
      <w:tr>
        <w:tc>
          <w:tcPr>
            <w:tcW w:type="dxa" w:w="2880"/>
          </w:tcPr>
          <w:p>
            <w:r>
              <w:t>Voeding</w:t>
            </w:r>
          </w:p>
        </w:tc>
        <w:tc>
          <w:tcPr>
            <w:tcW w:type="dxa" w:w="2880"/>
          </w:tcPr>
          <w:p>
            <w:r>
              <w:t>Gezonde voeding</w:t>
            </w:r>
          </w:p>
        </w:tc>
        <w:tc>
          <w:tcPr>
            <w:tcW w:type="dxa" w:w="2880"/>
          </w:tcPr>
          <w:p>
            <w:r>
              <w:t>Vormt een kernonderdeel van de behandeling</w:t>
            </w:r>
          </w:p>
        </w:tc>
      </w:tr>
      <w:tr>
        <w:tc>
          <w:tcPr>
            <w:tcW w:type="dxa" w:w="2880"/>
          </w:tcPr>
          <w:p>
            <w:r>
              <w:t>Ontspanning</w:t>
            </w:r>
          </w:p>
        </w:tc>
        <w:tc>
          <w:tcPr>
            <w:tcW w:type="dxa" w:w="2880"/>
          </w:tcPr>
          <w:p>
            <w:r>
              <w:t>Voldoende rust en stressmanagement</w:t>
            </w:r>
          </w:p>
        </w:tc>
        <w:tc>
          <w:tcPr>
            <w:tcW w:type="dxa" w:w="2880"/>
          </w:tcPr>
          <w:p>
            <w:r>
              <w:t>Ondersteunt de totale gezondheid</w:t>
            </w:r>
          </w:p>
        </w:tc>
      </w:tr>
    </w:tbl>
    <w:p>
      <w:pPr>
        <w:pStyle w:val="Heading5"/>
      </w:pPr>
      <w:r>
        <w:t>Stoppen met roken</w:t>
      </w:r>
    </w:p>
    <w:p>
      <w:r>
        <w:t>Stoppen met roken is een duidelijke aanbeveling. Het gaat hierbij niet alleen om het verlagen van het risico op hart- en vaatziekten, maar ook om het verminderen van het risico op kanker en longziekten. Ondersteunende therapie, zoals nicotinevervangers of begeleiding door een gespecialiseerde zorgverlener, vergroot de kans dat iemand blijvend stopt.</w:t>
      </w:r>
    </w:p>
    <w:p>
      <w:pPr>
        <w:pStyle w:val="Heading5"/>
      </w:pPr>
      <w:r>
        <w:t>Voldoende bewegen en gezond gewicht</w:t>
      </w:r>
    </w:p>
    <w:p>
      <w:r>
        <w:t xml:space="preserve">Bewegen is belangrijk, maar er bestaat geen universele, strakke definitie van wat “voldoende” precies is voor iedereen. Het officiële advies is minstens </w:t>
      </w:r>
      <w:r>
        <w:rPr>
          <w:b/>
        </w:rPr>
        <w:t>150 minuten per week matig-intensieve inspanning</w:t>
      </w:r>
      <w:r>
        <w:t>, waarbij je lichaam iets harder werkt en er sprake is van enige zweetvorming. Tegelijk moet altijd rekening worden gehouden met de mogelijkheden van de individuele patiënt.</w:t>
      </w:r>
    </w:p>
    <w:p>
      <w:r>
        <w:t>Soms kan door comorbiditeit die 150 minuten niet haalbaar zijn. Dan geldt: elke minuut is meegenomen. Daarnaast moet een zittende leefstijl worden vermeden. Bij patiënten met obesitas wordt gewichtsverlies geadviseerd, zonder dat daarbij direct een exacte methode hoeft te worden voorgeschreven.</w:t>
      </w:r>
    </w:p>
    <w:p>
      <w:r>
        <w:t xml:space="preserve">*Waarom is bewegen zo’n belangrijk onderdeel van de aanpak?*  </w:t>
        <w:br/>
      </w:r>
      <w:r>
        <w:rPr>
          <w:b/>
        </w:rPr>
        <w:t>Kort antwoord:</w:t>
      </w:r>
      <w:r>
        <w:t xml:space="preserve"> omdat het past binnen de brede, holistische behandeling van CNS en helpt om de algemene gezondheid te ondersteunen.</w:t>
      </w:r>
    </w:p>
    <w:p>
      <w:r>
        <w:t>Als extra ondersteuning kunnen patiënten worden verwezen naar bijvoorbeeld een diëtist, fysiotherapeut of lifestyle coach.</w:t>
      </w:r>
    </w:p>
    <w:p>
      <w:pPr>
        <w:pStyle w:val="Heading4"/>
      </w:pPr>
      <w:r>
        <w:t>2. Dieet bij chronische nierschade</w:t>
      </w:r>
    </w:p>
    <w:p>
      <w:r>
        <w:t xml:space="preserve">Bij CNS zijn dieetadviezen in Nederland gebaseerd op de </w:t>
      </w:r>
      <w:r>
        <w:rPr>
          <w:b/>
        </w:rPr>
        <w:t>Richtlijnen goede voeding</w:t>
      </w:r>
      <w:r>
        <w:t>. In grote lijnen zijn deze adviezen voor de meeste patiënten met chronische nierschade niet wezenlijk anders dan voor de algemene bevolking. De basisgedachte is dat beschadigde nieren afvalstoffen minder goed kunnen uitscheiden, er hormonale veranderingen kunnen ontstaan en er afwijkingen in bloedwaarden kunnen optreden. Ook kan de voedingstoestand veranderen. Dat alles samen vormt de basis voor een persoonlijk dieetadvies.</w:t>
      </w:r>
    </w:p>
    <w:p>
      <w:r>
        <w:t>Het doel van de voeding is om:</w:t>
      </w:r>
    </w:p>
    <w:p>
      <w:pPr>
        <w:pStyle w:val="ListBullet"/>
      </w:pPr>
      <w:r>
        <w:t>achteruitgang van de nierfunctie te vertragen;</w:t>
      </w:r>
    </w:p>
    <w:p>
      <w:pPr>
        <w:pStyle w:val="ListBullet"/>
      </w:pPr>
      <w:r>
        <w:t>de bloeddrukregulatie te ondersteunen;</w:t>
      </w:r>
    </w:p>
    <w:p>
      <w:pPr>
        <w:pStyle w:val="ListBullet"/>
      </w:pPr>
      <w:r>
        <w:t>albuminurie/proteinurie te verminderen;</w:t>
      </w:r>
    </w:p>
    <w:p>
      <w:pPr>
        <w:pStyle w:val="ListBullet"/>
      </w:pPr>
      <w:r>
        <w:t>complicaties te helpen voorkomen of uitstellen;</w:t>
      </w:r>
    </w:p>
    <w:p>
      <w:pPr>
        <w:pStyle w:val="ListBullet"/>
      </w:pPr>
      <w:r>
        <w:t>de calcium- en fosfaathuishouding te ondersteunen;</w:t>
      </w:r>
    </w:p>
    <w:p>
      <w:pPr>
        <w:pStyle w:val="ListBullet"/>
      </w:pPr>
      <w:r>
        <w:t>metabole acidose te helpen behandelen;</w:t>
      </w:r>
    </w:p>
    <w:p>
      <w:pPr>
        <w:pStyle w:val="ListBullet"/>
      </w:pPr>
      <w:r>
        <w:t>de elektrolytenbalans te reguleren;</w:t>
      </w:r>
    </w:p>
    <w:p>
      <w:pPr>
        <w:pStyle w:val="ListBullet"/>
      </w:pPr>
      <w:r>
        <w:t>uremische klachten uit te stellen;</w:t>
      </w:r>
    </w:p>
    <w:p>
      <w:pPr>
        <w:pStyle w:val="ListBullet"/>
      </w:pPr>
      <w:r>
        <w:t>vochtretentie te verminderen;</w:t>
      </w:r>
    </w:p>
    <w:p>
      <w:pPr>
        <w:pStyle w:val="ListBullet"/>
      </w:pPr>
      <w:r>
        <w:t>ondervoeding te voorkomen.</w:t>
      </w:r>
    </w:p>
    <w:p>
      <w:pPr>
        <w:pStyle w:val="Heading5"/>
      </w:pPr>
      <w:r>
        <w:t>Voedingstoestand: waarom is dit belangrijk?</w:t>
      </w:r>
    </w:p>
    <w:p>
      <w:r>
        <w:t>De voedingstoestand bestaat uit drie domeinen:</w:t>
      </w:r>
    </w:p>
    <w:p>
      <w:pPr>
        <w:pStyle w:val="ListNumber"/>
      </w:pPr>
      <w:r>
        <w:rPr>
          <w:b/>
        </w:rPr>
        <w:t>Voedselinname, verbruik en verliezen</w:t>
      </w:r>
      <w:r>
        <w:t>;</w:t>
      </w:r>
    </w:p>
    <w:p>
      <w:pPr>
        <w:pStyle w:val="ListNumber"/>
      </w:pPr>
      <w:r>
        <w:rPr>
          <w:b/>
        </w:rPr>
        <w:t>Lichaamssamenstelling en nutriëntenreserves</w:t>
      </w:r>
      <w:r>
        <w:t>;</w:t>
      </w:r>
    </w:p>
    <w:p>
      <w:pPr>
        <w:pStyle w:val="ListNumber"/>
      </w:pPr>
      <w:r>
        <w:rPr>
          <w:b/>
        </w:rPr>
        <w:t>Functionele parameters</w:t>
      </w:r>
      <w:r>
        <w:t>.</w:t>
      </w:r>
    </w:p>
    <w:p>
      <w:r>
        <w:t>Bij CNS komt ondervoeding veel voor. In een gevorderd stadium kan dit oplopen tot zeer hoge percentages. De slechte voedingstoestand hangt sterk samen met negatieve eiwitbalans. Dat betekent dat spiermassa verloren kan gaan.</w:t>
      </w:r>
    </w:p>
    <w:p>
      <w:r>
        <w:t>Er zijn meerdere oorzaken voor die negatieve eiwitbalans. Allereerst kan de inname van energie en eiwit dalen door klachten zoals misselijkheid, braken en verminderde eetlust. Ook vochtbeperking kan ervoor zorgen dat iemand minder calorieën binnenkrijgt. Daarnaast zijn er katabole factoren die spierafbraak stimuleren, zoals metabole acidose, inflammatie, comorbiditeit, gebruik van corticosteroïden en een sedentaire leefstijl.</w:t>
      </w:r>
    </w:p>
    <w:p>
      <w:r>
        <w:t>Een diëtist kan ingrijpen met dieetpreparaten of dieetproducten, bijvoorbeeld met verlaagde elektrolyten en eventueel een klein volume. Als dat onvoldoende is, kan sondevoeding de volgende stap zijn.</w:t>
      </w:r>
    </w:p>
    <w:p>
      <w:r>
        <w:t xml:space="preserve">*Waarom letten we bij CNS zo sterk op de voedingstoestand?*  </w:t>
        <w:br/>
      </w:r>
      <w:r>
        <w:rPr>
          <w:b/>
        </w:rPr>
        <w:t>Kort antwoord:</w:t>
      </w:r>
      <w:r>
        <w:t xml:space="preserve"> omdat voedingstoestand, lichaamssamenstelling en vooral spiermassa sterk verbonden zijn met morbiditeit, mortaliteit en kwaliteit van leven.</w:t>
      </w:r>
    </w:p>
    <w:p>
      <w:pPr>
        <w:pStyle w:val="Heading5"/>
      </w:pPr>
      <w:r>
        <w:t>Richtlijnen goede voeding en plantaardig eten</w:t>
      </w:r>
    </w:p>
    <w:p>
      <w:r>
        <w:t xml:space="preserve">Binnen de voedingsadviezen is een meer </w:t>
      </w:r>
      <w:r>
        <w:rPr>
          <w:b/>
        </w:rPr>
        <w:t>plantaardig voedingspatroon</w:t>
      </w:r>
      <w:r>
        <w:t xml:space="preserve"> steeds belangrijker geworden. Een plantaardige voeding bevat relatief minder eiwit, zout, fosfaat, calcium, ijzer, vitamine B2 en vitamine B12, en juist meer kalium, magnesium en vezels.</w:t>
      </w:r>
    </w:p>
    <w:p>
      <w:r>
        <w:t>Er zijn gunstige associaties beschreven met:</w:t>
      </w:r>
    </w:p>
    <w:p>
      <w:pPr>
        <w:pStyle w:val="ListBullet"/>
      </w:pPr>
      <w:r>
        <w:t>tragere achteruitgang van eGFR;</w:t>
      </w:r>
    </w:p>
    <w:p>
      <w:pPr>
        <w:pStyle w:val="ListBullet"/>
      </w:pPr>
      <w:r>
        <w:t>minder proteinurie;</w:t>
      </w:r>
    </w:p>
    <w:p>
      <w:pPr>
        <w:pStyle w:val="ListBullet"/>
      </w:pPr>
      <w:r>
        <w:t>een gunstig effect op de zuurgraad.</w:t>
      </w:r>
    </w:p>
    <w:p>
      <w:r>
        <w:t>De effecten op spiermassa en spierkracht zijn nog niet onderzocht.</w:t>
      </w:r>
    </w:p>
    <w:p>
      <w:r>
        <w:rPr>
          <w:b/>
        </w:rPr>
        <w:t>Tabel 2. Belangrijkste voedingsthema’s bij CNS</w:t>
      </w:r>
    </w:p>
    <w:tbl>
      <w:tblPr>
        <w:tblStyle w:val="TableGrid"/>
        <w:tblW w:type="auto" w:w="0"/>
        <w:tblLook w:firstColumn="1" w:firstRow="1" w:lastColumn="0" w:lastRow="0" w:noHBand="0" w:noVBand="1" w:val="04A0"/>
      </w:tblPr>
      <w:tblGrid>
        <w:gridCol w:w="2880"/>
        <w:gridCol w:w="2880"/>
        <w:gridCol w:w="2880"/>
      </w:tblGrid>
      <w:tr>
        <w:tc>
          <w:tcPr>
            <w:tcW w:type="dxa" w:w="2880"/>
          </w:tcPr>
          <w:p>
            <w:r>
              <w:t>Onderdeel</w:t>
            </w:r>
          </w:p>
        </w:tc>
        <w:tc>
          <w:tcPr>
            <w:tcW w:type="dxa" w:w="2880"/>
          </w:tcPr>
          <w:p>
            <w:r>
              <w:t>Kern van het advies</w:t>
            </w:r>
          </w:p>
        </w:tc>
        <w:tc>
          <w:tcPr>
            <w:tcW w:type="dxa" w:w="2880"/>
          </w:tcPr>
          <w:p>
            <w:r>
              <w:t>Belangrijk effect of aandachtspunt</w:t>
            </w:r>
          </w:p>
        </w:tc>
      </w:tr>
      <w:tr>
        <w:tc>
          <w:tcPr>
            <w:tcW w:type="dxa" w:w="2880"/>
          </w:tcPr>
          <w:p>
            <w:r>
              <w:t>Eiwit</w:t>
            </w:r>
          </w:p>
        </w:tc>
        <w:tc>
          <w:tcPr>
            <w:tcW w:type="dxa" w:w="2880"/>
          </w:tcPr>
          <w:p>
            <w:r>
              <w:t>Niet te veel en niet te weinig</w:t>
            </w:r>
          </w:p>
        </w:tc>
        <w:tc>
          <w:tcPr>
            <w:tcW w:type="dxa" w:w="2880"/>
          </w:tcPr>
          <w:p>
            <w:r>
              <w:t>Belangrijk voor spiermassa, maar overmaat kan nadelig zijn</w:t>
            </w:r>
          </w:p>
        </w:tc>
      </w:tr>
      <w:tr>
        <w:tc>
          <w:tcPr>
            <w:tcW w:type="dxa" w:w="2880"/>
          </w:tcPr>
          <w:p>
            <w:r>
              <w:t>Natrium/zout</w:t>
            </w:r>
          </w:p>
        </w:tc>
        <w:tc>
          <w:tcPr>
            <w:tcW w:type="dxa" w:w="2880"/>
          </w:tcPr>
          <w:p>
            <w:r>
              <w:t>Beperken</w:t>
            </w:r>
          </w:p>
        </w:tc>
        <w:tc>
          <w:tcPr>
            <w:tcW w:type="dxa" w:w="2880"/>
          </w:tcPr>
          <w:p>
            <w:r>
              <w:t>Ondersteunt bloeddrukregulatie en vermindert proteinurie</w:t>
            </w:r>
          </w:p>
        </w:tc>
      </w:tr>
      <w:tr>
        <w:tc>
          <w:tcPr>
            <w:tcW w:type="dxa" w:w="2880"/>
          </w:tcPr>
          <w:p>
            <w:r>
              <w:t>Kalium</w:t>
            </w:r>
          </w:p>
        </w:tc>
        <w:tc>
          <w:tcPr>
            <w:tcW w:type="dxa" w:w="2880"/>
          </w:tcPr>
          <w:p>
            <w:r>
              <w:t>Meestal niet streng beperken</w:t>
            </w:r>
          </w:p>
        </w:tc>
        <w:tc>
          <w:tcPr>
            <w:tcW w:type="dxa" w:w="2880"/>
          </w:tcPr>
          <w:p>
            <w:r>
              <w:t>Alleen beperken bij herhaalde hyperkaliëmie</w:t>
            </w:r>
          </w:p>
        </w:tc>
      </w:tr>
      <w:tr>
        <w:tc>
          <w:tcPr>
            <w:tcW w:type="dxa" w:w="2880"/>
          </w:tcPr>
          <w:p>
            <w:r>
              <w:t>Fosfaat</w:t>
            </w:r>
          </w:p>
        </w:tc>
        <w:tc>
          <w:tcPr>
            <w:tcW w:type="dxa" w:w="2880"/>
          </w:tcPr>
          <w:p>
            <w:r>
              <w:t>Beperken bij verhoogde serumwaarden</w:t>
            </w:r>
          </w:p>
        </w:tc>
        <w:tc>
          <w:tcPr>
            <w:tcW w:type="dxa" w:w="2880"/>
          </w:tcPr>
          <w:p>
            <w:r>
              <w:t>Vooral bij hyperfosfatemie en om bot- en vaatproblemen te beperken</w:t>
            </w:r>
          </w:p>
        </w:tc>
      </w:tr>
      <w:tr>
        <w:tc>
          <w:tcPr>
            <w:tcW w:type="dxa" w:w="2880"/>
          </w:tcPr>
          <w:p>
            <w:r>
              <w:t>Vocht</w:t>
            </w:r>
          </w:p>
        </w:tc>
        <w:tc>
          <w:tcPr>
            <w:tcW w:type="dxa" w:w="2880"/>
          </w:tcPr>
          <w:p>
            <w:r>
              <w:t>Niet standaard extra drinken als behandeling</w:t>
            </w:r>
          </w:p>
        </w:tc>
        <w:tc>
          <w:tcPr>
            <w:tcW w:type="dxa" w:w="2880"/>
          </w:tcPr>
          <w:p>
            <w:r>
              <w:t>Beperken alleen bij specifieke indicaties</w:t>
            </w:r>
          </w:p>
        </w:tc>
      </w:tr>
      <w:tr>
        <w:tc>
          <w:tcPr>
            <w:tcW w:type="dxa" w:w="2880"/>
          </w:tcPr>
          <w:p>
            <w:r>
              <w:t>Voedingspatroon</w:t>
            </w:r>
          </w:p>
        </w:tc>
        <w:tc>
          <w:tcPr>
            <w:tcW w:type="dxa" w:w="2880"/>
          </w:tcPr>
          <w:p>
            <w:r>
              <w:t>Meer plantaardig kan gunstig zijn</w:t>
            </w:r>
          </w:p>
        </w:tc>
        <w:tc>
          <w:tcPr>
            <w:tcW w:type="dxa" w:w="2880"/>
          </w:tcPr>
          <w:p>
            <w:r>
              <w:t>Minder zuurbelasting en gunstige associaties met nieruitkomsten</w:t>
            </w:r>
          </w:p>
        </w:tc>
      </w:tr>
    </w:tbl>
    <w:p>
      <w:pPr>
        <w:pStyle w:val="Heading5"/>
      </w:pPr>
      <w:r>
        <w:t>Eiwit</w:t>
      </w:r>
    </w:p>
    <w:p>
      <w:r>
        <w:t xml:space="preserve">Eiwit is een belangrijke voedingsstof voor het behoud van spiermassa. Tegelijk levert eiwitafbraak stoffen op zoals ureum en fosfaat. Omdat de nierfunctie verminderd is, kunnen deze stoffen zich ophopen. Daarnaast kunnen zogenoemde </w:t>
      </w:r>
      <w:r>
        <w:rPr>
          <w:b/>
        </w:rPr>
        <w:t>uremische toxines</w:t>
      </w:r>
      <w:r>
        <w:t xml:space="preserve"> opstapelen; dit zijn stoffen die onder meer ontstaan door aminozuurmetabolisme via de darmmicrobiota.</w:t>
      </w:r>
    </w:p>
    <w:p>
      <w:r>
        <w:t xml:space="preserve">Hierdoor kunnen klachten ontstaan zoals vermoeidheid, jeuk, misselijkheid en braken. Aminozuren bevatten stikstof, en een langdurig te hoge eiwitinname kan leiden tot </w:t>
      </w:r>
      <w:r>
        <w:rPr>
          <w:b/>
        </w:rPr>
        <w:t>glomerulaire hyperfiltratie</w:t>
      </w:r>
      <w:r>
        <w:t>. Daarom is eiwitbalans bij CNS een belangrijk aandachtspunt: te veel is ongunstig, maar te weinig is ook niet gewenst.</w:t>
      </w:r>
    </w:p>
    <w:p>
      <w:r>
        <w:t xml:space="preserve">Het algemene advies is ongeveer </w:t>
      </w:r>
      <w:r>
        <w:rPr>
          <w:b/>
        </w:rPr>
        <w:t>1,0 gram eiwit per kilogram vetvrije massa per dag</w:t>
      </w:r>
      <w:r>
        <w:t xml:space="preserve">, of </w:t>
      </w:r>
      <w:r>
        <w:rPr>
          <w:b/>
        </w:rPr>
        <w:t>0,8 gram per kilogram lichaamsgewicht</w:t>
      </w:r>
      <w:r>
        <w:t>.</w:t>
      </w:r>
    </w:p>
    <w:p>
      <w:pPr>
        <w:pStyle w:val="Heading5"/>
      </w:pPr>
      <w:r>
        <w:t>Natrium en zout</w:t>
      </w:r>
    </w:p>
    <w:p>
      <w:r>
        <w:t>Een natriumbeperking helpt bij de bloeddrukregulatie en draagt bij aan vermindering van albuminurie/proteinurie. Daarnaast ondersteunt het een goede vochtbalans. Er is een sterke associatie tussen een hoge natriuminname en ongunstige gezondheidsuitkomsten, zoals sterfte en cardiovasculaire ziekte.</w:t>
      </w:r>
    </w:p>
    <w:p>
      <w:r>
        <w:t xml:space="preserve">Het algemene advies is maximaal </w:t>
      </w:r>
      <w:r>
        <w:rPr>
          <w:b/>
        </w:rPr>
        <w:t>6 gram zout per dag</w:t>
      </w:r>
      <w:r>
        <w:t xml:space="preserve"> (ongeveer </w:t>
      </w:r>
      <w:r>
        <w:rPr>
          <w:b/>
        </w:rPr>
        <w:t>2,4 gram natrium</w:t>
      </w:r>
      <w:r>
        <w:t xml:space="preserve">). Dat advies geldt voor alle Nederlanders. Belangrijk om te onthouden is dat gemiddeld ongeveer </w:t>
      </w:r>
      <w:r>
        <w:rPr>
          <w:b/>
        </w:rPr>
        <w:t>80% van de totale zoutinname</w:t>
      </w:r>
      <w:r>
        <w:t xml:space="preserve"> al in voedingsmiddelen zit.</w:t>
      </w:r>
    </w:p>
    <w:p>
      <w:r>
        <w:t>Daarnaast neemt het effect van remmers van het renine-angiotensinesysteem, zoals ACE-remmers en angiotensine-receptorblokkers, toe bij een zoutbeperking.</w:t>
      </w:r>
    </w:p>
    <w:p>
      <w:pPr>
        <w:pStyle w:val="Heading5"/>
      </w:pPr>
      <w:r>
        <w:t>Kalium</w:t>
      </w:r>
    </w:p>
    <w:p>
      <w:r>
        <w:t>Een kaliumrijke voeding heeft een gunstige invloed op de bloeddruk. Kalium zit vooral in vezelrijke producten zoals groenten, fruit en noten. Het algemene advies volgens de Richtlijnen goede voeding is daarom juist een kaliumrijke voeding.</w:t>
      </w:r>
    </w:p>
    <w:p>
      <w:r>
        <w:t>Een kaliumbeperkt dieet is alleen bedoeld bij:</w:t>
      </w:r>
    </w:p>
    <w:p>
      <w:pPr>
        <w:pStyle w:val="ListBullet"/>
      </w:pPr>
      <w:r>
        <w:t xml:space="preserve">herhaalde serumkaliumwaarden </w:t>
      </w:r>
      <w:r>
        <w:rPr>
          <w:b/>
        </w:rPr>
        <w:t>&gt; 5,5 mmol/L</w:t>
      </w:r>
      <w:r>
        <w:t>;</w:t>
      </w:r>
    </w:p>
    <w:p>
      <w:pPr>
        <w:pStyle w:val="ListBullet"/>
      </w:pPr>
      <w:r>
        <w:t>en wanneer andere oorzaken van hyperkaliëmie zijn uitgesloten of niet te veranderen zijn.</w:t>
      </w:r>
    </w:p>
    <w:p>
      <w:r>
        <w:t xml:space="preserve">De associatie tussen de hoeveelheid kalium in de voeding en de serumkaliumwaarde is zwak. Vezels, bicarbonaat en de base-bron </w:t>
      </w:r>
      <w:r>
        <w:rPr>
          <w:b/>
        </w:rPr>
        <w:t>citraat</w:t>
      </w:r>
      <w:r>
        <w:t xml:space="preserve"> uit groenten en fruit beperken juist de stijging van serumkalium. Een strikte kaliumbeperking heeft waarschijnlijk nadelige gevolgen, onder andere doordat de vezelinname afneemt.</w:t>
      </w:r>
    </w:p>
    <w:p>
      <w:r>
        <w:t xml:space="preserve">Als kalium beperken via voeding niet mogelijk is, kan behandeling met ion-uitwisselende medicatie, zoals </w:t>
      </w:r>
      <w:r>
        <w:rPr>
          <w:b/>
        </w:rPr>
        <w:t>kaliumbinders</w:t>
      </w:r>
      <w:r>
        <w:t>, een optie zijn.</w:t>
      </w:r>
    </w:p>
    <w:p>
      <w:pPr>
        <w:pStyle w:val="Heading5"/>
      </w:pPr>
      <w:r>
        <w:t>Fosfaat</w:t>
      </w:r>
    </w:p>
    <w:p>
      <w:r>
        <w:t xml:space="preserve">Bij CNS wordt, naarmate de ziekte ernstiger wordt, vaker </w:t>
      </w:r>
      <w:r>
        <w:rPr>
          <w:b/>
        </w:rPr>
        <w:t>hyperfosfatemie</w:t>
      </w:r>
      <w:r>
        <w:t xml:space="preserve"> gezien. Dat is belangrijk omdat dit op de lange termijn kan leiden tot </w:t>
      </w:r>
      <w:r>
        <w:rPr>
          <w:b/>
        </w:rPr>
        <w:t>vaatcalcificatie</w:t>
      </w:r>
      <w:r>
        <w:t xml:space="preserve"> en </w:t>
      </w:r>
      <w:r>
        <w:rPr>
          <w:b/>
        </w:rPr>
        <w:t>botontkalking</w:t>
      </w:r>
      <w:r>
        <w:t>.</w:t>
      </w:r>
    </w:p>
    <w:p>
      <w:r>
        <w:t>De opname van fosfaat hangt af van de bron:</w:t>
      </w:r>
    </w:p>
    <w:p>
      <w:pPr>
        <w:pStyle w:val="ListBullet"/>
      </w:pPr>
      <w:r>
        <w:rPr>
          <w:b/>
        </w:rPr>
        <w:t>organisch fosfaat uit plantaardige voeding</w:t>
      </w:r>
      <w:r>
        <w:t>: ongeveer 20–50% opname;</w:t>
      </w:r>
    </w:p>
    <w:p>
      <w:pPr>
        <w:pStyle w:val="ListBullet"/>
      </w:pPr>
      <w:r>
        <w:rPr>
          <w:b/>
        </w:rPr>
        <w:t>organisch fosfaat uit dierlijke voeding</w:t>
      </w:r>
      <w:r>
        <w:t>: ongeveer 40–60% opname;</w:t>
      </w:r>
    </w:p>
    <w:p>
      <w:pPr>
        <w:pStyle w:val="ListBullet"/>
      </w:pPr>
      <w:r>
        <w:rPr>
          <w:b/>
        </w:rPr>
        <w:t>anorganisch fosfaat uit additieven</w:t>
      </w:r>
      <w:r>
        <w:t>: vrijwel volledig, ongeveer 90–100% opname.</w:t>
      </w:r>
    </w:p>
    <w:p>
      <w:r>
        <w:t xml:space="preserve">Beperk fosfaatinname wanneer het serumfosfaat herhaaldelijk boven de afgesproken streefwaarde ligt, maar zorg er wel voor dat een adequate eiwitinname mogelijk blijft. Als dieetmaatregelen onvoldoende zijn, kunnen </w:t>
      </w:r>
      <w:r>
        <w:rPr>
          <w:b/>
        </w:rPr>
        <w:t>fosfaatbinders</w:t>
      </w:r>
      <w:r>
        <w:t xml:space="preserve"> worden gestart. Het fosfaat uit de voeding wordt dan gebonden aan de medicatie en verlaat het lichaam via de ontlasting. Daarom is het belangrijk dat een diëtist ook de timing van inname bespreekt.</w:t>
      </w:r>
    </w:p>
    <w:p>
      <w:pPr>
        <w:pStyle w:val="Heading5"/>
      </w:pPr>
      <w:r>
        <w:t>Vocht</w:t>
      </w:r>
    </w:p>
    <w:p>
      <w:r>
        <w:t xml:space="preserve">Er is </w:t>
      </w:r>
      <w:r>
        <w:rPr>
          <w:b/>
        </w:rPr>
        <w:t>geen bewijs</w:t>
      </w:r>
      <w:r>
        <w:t xml:space="preserve"> dat voldoende drinken de achteruitgang van de nierfunctie vertraagt. Het algemene advies is </w:t>
      </w:r>
      <w:r>
        <w:rPr>
          <w:b/>
        </w:rPr>
        <w:t>1,5 tot 2 liter per dag</w:t>
      </w:r>
      <w:r>
        <w:t>. Er zijn uitzonderingen, bijvoorbeeld bij nierstenen of frequente urineweginfecties.</w:t>
      </w:r>
    </w:p>
    <w:p>
      <w:r>
        <w:t>Een vochtbeperking kan juist nodig zijn bij:</w:t>
      </w:r>
    </w:p>
    <w:p>
      <w:pPr>
        <w:pStyle w:val="ListBullet"/>
      </w:pPr>
      <w:r>
        <w:t>afname van diurese;</w:t>
      </w:r>
    </w:p>
    <w:p>
      <w:pPr>
        <w:pStyle w:val="ListBullet"/>
      </w:pPr>
      <w:r>
        <w:t>hyponatriëmie;</w:t>
      </w:r>
    </w:p>
    <w:p>
      <w:pPr>
        <w:pStyle w:val="ListBullet"/>
      </w:pPr>
      <w:r>
        <w:t>hartfalen.</w:t>
      </w:r>
    </w:p>
    <w:p>
      <w:r>
        <w:t xml:space="preserve">*Is “meer drinken” dus altijd goed bij chronische nierschade?*  </w:t>
        <w:br/>
      </w:r>
      <w:r>
        <w:rPr>
          <w:b/>
        </w:rPr>
        <w:t>Kort antwoord:</w:t>
      </w:r>
      <w:r>
        <w:t xml:space="preserve"> nee. Voldoende drinken is meestal prima, maar het is geen bewezen behandeling om de nierfunctie te beschermen, en soms is juist vochtbeperking nodig.</w:t>
      </w:r>
    </w:p>
    <w:p>
      <w:pPr>
        <w:pStyle w:val="Heading4"/>
      </w:pPr>
      <w:r>
        <w:t>3. Overige therapie bij CNS</w:t>
      </w:r>
    </w:p>
    <w:p>
      <w:r>
        <w:t xml:space="preserve">Naast leefstijl en voeding zijn er nog twee veelvoorkomende problemen bij CNS die extra behandeling kunnen vragen: </w:t>
      </w:r>
      <w:r>
        <w:rPr>
          <w:b/>
        </w:rPr>
        <w:t>renale anemie</w:t>
      </w:r>
      <w:r>
        <w:t xml:space="preserve"> en </w:t>
      </w:r>
      <w:r>
        <w:rPr>
          <w:b/>
        </w:rPr>
        <w:t>metabole acidose</w:t>
      </w:r>
      <w:r>
        <w:t>.</w:t>
      </w:r>
    </w:p>
    <w:p>
      <w:pPr>
        <w:pStyle w:val="Heading5"/>
      </w:pPr>
      <w:r>
        <w:t>Renale anemie</w:t>
      </w:r>
    </w:p>
    <w:p>
      <w:r>
        <w:t>Anemie komt veel voor bij chronische nierschade, en naarmate de nierfunctie verder verslechtert, neemt de incidentie toe. Het kan voorkomen bij ongeveer 25–50% van de patiënten. Renale anemie is ongunstig omdat het geassocieerd is met meer opnames, meer hart- en vaatziekten, meer sterfte en een lagere kwaliteit van leven.</w:t>
      </w:r>
    </w:p>
    <w:p>
      <w:r>
        <w:t>De oorzaak is multifactorieel. Niet alleen een tekort aan erytropoëtine speelt mee, maar ook:</w:t>
      </w:r>
    </w:p>
    <w:p>
      <w:pPr>
        <w:pStyle w:val="ListBullet"/>
      </w:pPr>
      <w:r>
        <w:t>opstapeling van toxines;</w:t>
      </w:r>
    </w:p>
    <w:p>
      <w:pPr>
        <w:pStyle w:val="ListBullet"/>
      </w:pPr>
      <w:r>
        <w:t>versnelde afbraak van erytrocyten;</w:t>
      </w:r>
    </w:p>
    <w:p>
      <w:pPr>
        <w:pStyle w:val="ListBullet"/>
      </w:pPr>
      <w:r>
        <w:t>verhoogd hepcidine, waardoor ferroportine in de darm dichtgaat en ijzer minder goed wordt opgenomen;</w:t>
      </w:r>
    </w:p>
    <w:p>
      <w:pPr>
        <w:pStyle w:val="ListBullet"/>
      </w:pPr>
      <w:r>
        <w:t>mogelijk ook andere factoren zoals ontsteking en comorbiditeit.</w:t>
      </w:r>
    </w:p>
    <w:p>
      <w:r>
        <w:t>De evaluatie van anemie bestaat uit verschillende stappen:</w:t>
      </w:r>
    </w:p>
    <w:p>
      <w:pPr>
        <w:pStyle w:val="ListNumber"/>
      </w:pPr>
      <w:r>
        <w:t>andere oorzaken uitsluiten, zoals bloedverlies, infecties of inflammatie;</w:t>
      </w:r>
    </w:p>
    <w:p>
      <w:pPr>
        <w:pStyle w:val="ListNumber"/>
      </w:pPr>
      <w:r>
        <w:t>de ijzerstatus bepalen;</w:t>
      </w:r>
    </w:p>
    <w:p>
      <w:pPr>
        <w:pStyle w:val="ListNumber"/>
      </w:pPr>
      <w:r>
        <w:t>het effect van behandeling evalueren en zo nodig een ESA starten.</w:t>
      </w:r>
    </w:p>
    <w:p>
      <w:r>
        <w:t xml:space="preserve">Bij CNS worden voor ijzerstatus hogere streefwaarden aangehouden dan bij een “zuivere” ijzergebreksanemie. Een </w:t>
      </w:r>
      <w:r>
        <w:rPr>
          <w:b/>
        </w:rPr>
        <w:t>ferritine &lt; 200 µg/L</w:t>
      </w:r>
      <w:r>
        <w:t xml:space="preserve"> en </w:t>
      </w:r>
      <w:r>
        <w:rPr>
          <w:b/>
        </w:rPr>
        <w:t>transferrinesaturatie &lt; 25%</w:t>
      </w:r>
      <w:r>
        <w:t xml:space="preserve"> zijn een reden om ijzer te suppleren.</w:t>
      </w:r>
    </w:p>
    <w:p>
      <w:r>
        <w:rPr>
          <w:b/>
        </w:rPr>
        <w:t>Tabel 3. Behandeling van renale anemie in stappen</w:t>
      </w:r>
    </w:p>
    <w:tbl>
      <w:tblPr>
        <w:tblStyle w:val="TableGrid"/>
        <w:tblW w:type="auto" w:w="0"/>
        <w:tblLook w:firstColumn="1" w:firstRow="1" w:lastColumn="0" w:lastRow="0" w:noHBand="0" w:noVBand="1" w:val="04A0"/>
      </w:tblPr>
      <w:tblGrid>
        <w:gridCol w:w="2880"/>
        <w:gridCol w:w="2880"/>
        <w:gridCol w:w="2880"/>
      </w:tblGrid>
      <w:tr>
        <w:tc>
          <w:tcPr>
            <w:tcW w:type="dxa" w:w="2880"/>
          </w:tcPr>
          <w:p>
            <w:r>
              <w:t>Stap</w:t>
            </w:r>
          </w:p>
        </w:tc>
        <w:tc>
          <w:tcPr>
            <w:tcW w:type="dxa" w:w="2880"/>
          </w:tcPr>
          <w:p>
            <w:r>
              <w:t>Wat doe je?</w:t>
            </w:r>
          </w:p>
        </w:tc>
        <w:tc>
          <w:tcPr>
            <w:tcW w:type="dxa" w:w="2880"/>
          </w:tcPr>
          <w:p>
            <w:r>
              <w:t>Waarom?</w:t>
            </w:r>
          </w:p>
        </w:tc>
      </w:tr>
      <w:tr>
        <w:tc>
          <w:tcPr>
            <w:tcW w:type="dxa" w:w="2880"/>
          </w:tcPr>
          <w:p>
            <w:r>
              <w:t>1</w:t>
            </w:r>
          </w:p>
        </w:tc>
        <w:tc>
          <w:tcPr>
            <w:tcW w:type="dxa" w:w="2880"/>
          </w:tcPr>
          <w:p>
            <w:r>
              <w:t>Sluit andere oorzaken uit</w:t>
            </w:r>
          </w:p>
        </w:tc>
        <w:tc>
          <w:tcPr>
            <w:tcW w:type="dxa" w:w="2880"/>
          </w:tcPr>
          <w:p>
            <w:r>
              <w:t>Anemie is niet alleen door CNS zelf</w:t>
            </w:r>
          </w:p>
        </w:tc>
      </w:tr>
      <w:tr>
        <w:tc>
          <w:tcPr>
            <w:tcW w:type="dxa" w:w="2880"/>
          </w:tcPr>
          <w:p>
            <w:r>
              <w:t>2</w:t>
            </w:r>
          </w:p>
        </w:tc>
        <w:tc>
          <w:tcPr>
            <w:tcW w:type="dxa" w:w="2880"/>
          </w:tcPr>
          <w:p>
            <w:r>
              <w:t>Bepaal ijzerstatus</w:t>
            </w:r>
          </w:p>
        </w:tc>
        <w:tc>
          <w:tcPr>
            <w:tcW w:type="dxa" w:w="2880"/>
          </w:tcPr>
          <w:p>
            <w:r>
              <w:t>IJzertekort komt vaak voor</w:t>
            </w:r>
          </w:p>
        </w:tc>
      </w:tr>
      <w:tr>
        <w:tc>
          <w:tcPr>
            <w:tcW w:type="dxa" w:w="2880"/>
          </w:tcPr>
          <w:p>
            <w:r>
              <w:t>3</w:t>
            </w:r>
          </w:p>
        </w:tc>
        <w:tc>
          <w:tcPr>
            <w:tcW w:type="dxa" w:w="2880"/>
          </w:tcPr>
          <w:p>
            <w:r>
              <w:t>Start zo nodig ijzer</w:t>
            </w:r>
          </w:p>
        </w:tc>
        <w:tc>
          <w:tcPr>
            <w:tcW w:type="dxa" w:w="2880"/>
          </w:tcPr>
          <w:p>
            <w:r>
              <w:t>Eerst ijzer, omdat dit bloedtransfusies en behoefte aan epo kan verminderen</w:t>
            </w:r>
          </w:p>
        </w:tc>
      </w:tr>
      <w:tr>
        <w:tc>
          <w:tcPr>
            <w:tcW w:type="dxa" w:w="2880"/>
          </w:tcPr>
          <w:p>
            <w:r>
              <w:t>4</w:t>
            </w:r>
          </w:p>
        </w:tc>
        <w:tc>
          <w:tcPr>
            <w:tcW w:type="dxa" w:w="2880"/>
          </w:tcPr>
          <w:p>
            <w:r>
              <w:t>Evalueer effect en start zo nodig ESA</w:t>
            </w:r>
          </w:p>
        </w:tc>
        <w:tc>
          <w:tcPr>
            <w:tcW w:type="dxa" w:w="2880"/>
          </w:tcPr>
          <w:p>
            <w:r>
              <w:t>Bij onvoldoende effect van ijzer</w:t>
            </w:r>
          </w:p>
        </w:tc>
      </w:tr>
      <w:tr>
        <w:tc>
          <w:tcPr>
            <w:tcW w:type="dxa" w:w="2880"/>
          </w:tcPr>
          <w:p>
            <w:r>
              <w:t>5</w:t>
            </w:r>
          </w:p>
        </w:tc>
        <w:tc>
          <w:tcPr>
            <w:tcW w:type="dxa" w:w="2880"/>
          </w:tcPr>
          <w:p>
            <w:r>
              <w:t>Houd hemoglobine binnen streefgebied</w:t>
            </w:r>
          </w:p>
        </w:tc>
        <w:tc>
          <w:tcPr>
            <w:tcW w:type="dxa" w:w="2880"/>
          </w:tcPr>
          <w:p>
            <w:r>
              <w:t>Niet normaliseren, maar gericht behandelen</w:t>
            </w:r>
          </w:p>
        </w:tc>
      </w:tr>
    </w:tbl>
    <w:p>
      <w:r>
        <w:t xml:space="preserve">De eerste stap in de behandeling van renale anemie is dus </w:t>
      </w:r>
      <w:r>
        <w:rPr>
          <w:b/>
        </w:rPr>
        <w:t>ijzer geven</w:t>
      </w:r>
      <w:r>
        <w:t>. Dat vermindert de noodzaak voor bloedtransfusies en verlaagt ook de behoefte aan epo. Dat is vooral belangrijk bij patiënten die mogelijk een niertransplantatie nodig hebben, omdat bloedtransfusies immunisatie kunnen geven.</w:t>
      </w:r>
    </w:p>
    <w:p>
      <w:r>
        <w:t xml:space="preserve">Epo of ESA’s moeten met terughoudendheid worden gebruikt. Te veel epo kan leiden tot normalisatie van het hemoglobine, maar dat geeft juist meer kans op CVA’s en een klein verhoogd kankerrisico, zonder echte verbetering van de kwaliteit van leven. Daarom wordt niet gestreefd naar normalisatie van de anemie. Het advies is om te mikken op een hemoglobine van </w:t>
      </w:r>
      <w:r>
        <w:rPr>
          <w:b/>
        </w:rPr>
        <w:t>6,2–7,4 mmol/L</w:t>
      </w:r>
      <w:r>
        <w:t>.</w:t>
      </w:r>
    </w:p>
    <w:p>
      <w:r>
        <w:t>ESA’s worden subcutaan toegediend door de patiënt zelf of via de hemodialysemachine bij hemodialysepatiënten. Er zijn ook nieuwe orale middelen die een vergelijkbaar effect op anemie kunnen hebben en een alternatief kunnen zijn voor patiënten die niet willen spuiten.</w:t>
      </w:r>
    </w:p>
    <w:p>
      <w:pPr>
        <w:pStyle w:val="Heading5"/>
      </w:pPr>
      <w:r>
        <w:t>Metabole acidose</w:t>
      </w:r>
    </w:p>
    <w:p>
      <w:r>
        <w:t xml:space="preserve">Bij afnemende nierfunctie kunnen minder zure stoffen worden uitgescheiden en kan minder bicarbonaat worden aangemaakt. Daardoor kan een </w:t>
      </w:r>
      <w:r>
        <w:rPr>
          <w:b/>
        </w:rPr>
        <w:t>metabole acidose</w:t>
      </w:r>
      <w:r>
        <w:t xml:space="preserve"> ontstaan. Deze acidose hangt samen met snellere achteruitgang van de nierfunctie. Mogelijke mechanismen zijn onder andere activatie van RAAS en complement, stoornissen in eiwitmetabolisme en endocriene veranderingen.</w:t>
      </w:r>
    </w:p>
    <w:p>
      <w:r>
        <w:t xml:space="preserve">Behandeling met </w:t>
      </w:r>
      <w:r>
        <w:rPr>
          <w:b/>
        </w:rPr>
        <w:t>bicarbonaat</w:t>
      </w:r>
      <w:r>
        <w:t xml:space="preserve"> lijkt de achteruitgang van de nierfunctie te kunnen vertragen. Op andere negatieve uitkomsten heeft deze behandeling echter weinig effect. Belangrijk is ook dat bicarbonaatsuppletie meestal gebeurt in de vorm van </w:t>
      </w:r>
      <w:r>
        <w:rPr>
          <w:b/>
        </w:rPr>
        <w:t>natriumbicarbonaat</w:t>
      </w:r>
      <w:r>
        <w:t>, waardoor de natriuminname toeneemt.</w:t>
      </w:r>
    </w:p>
    <w:p>
      <w:r>
        <w:t>Ook hier is voeding relevant: hoe meer plantaardige producten in de voeding, hoe minder zuur er wordt gevormd en hoe minder metabole acidose er ontstaat.</w:t>
      </w:r>
    </w:p>
    <w:p>
      <w:pPr>
        <w:pStyle w:val="Heading4"/>
      </w:pPr>
      <w:r>
        <w:t>Samenvatting</w:t>
      </w:r>
    </w:p>
    <w:p>
      <w:r>
        <w:t>Bij chronische nierschade vormen leefstijl en voeding de basis van de behandeling. Belangrijk zijn stoppen met roken, voldoende bewegen, een gezond gewicht, gezonde voeding en aandacht voor rust en stress. In de voeding ligt de nadruk op een goede balans van eiwit, zout, kalium, fosfaat en vocht, met steeds meer aandacht voor een plantaardig voedingspatroon. Daarnaast vragen renale anemie en metabole acidose soms om aanvullende medicatie, waarbij ijzer meestal de eerste stap is bij anemie en bicarbonaat een mogelijke behandeling is bij acidose.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