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26 – Farmacogenetica</w:t>
      </w:r>
    </w:p>
    <w:p>
      <w:pPr>
        <w:pStyle w:val="Heading4"/>
      </w:pPr>
      <w:r>
        <w:t>Leerdoelen</w:t>
      </w:r>
    </w:p>
    <w:p>
      <w:pPr>
        <w:pStyle w:val="ListBullet"/>
      </w:pPr>
      <w:r>
        <w:t>Kennismaken met farmacogenetische principes.</w:t>
      </w:r>
    </w:p>
    <w:p>
      <w:pPr>
        <w:pStyle w:val="ListBullet"/>
      </w:pPr>
      <w:r>
        <w:t>Farmacogenetica kunnen toepassen in casuïstiek om medicamenteuze therapie te optimaliseren op basis van genetische profielen.</w:t>
      </w:r>
    </w:p>
    <w:p>
      <w:pPr>
        <w:pStyle w:val="Heading4"/>
      </w:pPr>
      <w:r>
        <w:t>Van DNA naar eiwit</w:t>
      </w:r>
    </w:p>
    <w:p>
      <w:r>
        <w:t>Farmacogenetica draait om de vraag hoe genetische verschillen invloed hebben op de werking en afbraak van geneesmiddelen. Om dat goed te begrijpen, is het handig om eerst het ontstaan van een eiwit uit DNA stap voor stap te volgen.</w:t>
      </w:r>
    </w:p>
    <w:p>
      <w:r>
        <w:t xml:space="preserve">Bij het maken van een eiwit wordt eerst </w:t>
      </w:r>
      <w:r>
        <w:rPr>
          <w:b/>
        </w:rPr>
        <w:t>DNA omgezet in mRNA</w:t>
      </w:r>
      <w:r>
        <w:t xml:space="preserve">. Dat proces heet </w:t>
      </w:r>
      <w:r>
        <w:rPr>
          <w:b/>
        </w:rPr>
        <w:t>transcriptie</w:t>
      </w:r>
      <w:r>
        <w:t xml:space="preserve">. Daarna verlaat het mRNA de celkern en gaat het naar het cytoplasma, waar het door ribosomen wordt afgelezen. Dat tweede proces heet </w:t>
      </w:r>
      <w:r>
        <w:rPr>
          <w:b/>
        </w:rPr>
        <w:t>translatie</w:t>
      </w:r>
      <w:r>
        <w:t xml:space="preserve">. Het resultaat is een keten van aminozuren, een </w:t>
      </w:r>
      <w:r>
        <w:rPr>
          <w:b/>
        </w:rPr>
        <w:t>polypeptide</w:t>
      </w:r>
      <w:r>
        <w:t>. Zo’n polypeptide vouwt zich vervolgens tot een functioneel eiwit.</w:t>
      </w:r>
    </w:p>
    <w:p>
      <w:r>
        <w:rPr>
          <w:b/>
        </w:rPr>
        <w:t>Aandachtsvraag: wat is transcriptie?</w:t>
      </w:r>
      <w:r>
        <w:t xml:space="preserve">  </w:t>
        <w:br/>
        <w:t>Transcriptie is de omzetting van DNA naar mRNA.</w:t>
      </w:r>
    </w:p>
    <w:p>
      <w:pPr>
        <w:pStyle w:val="Heading5"/>
      </w:pPr>
      <w:r>
        <w:t>Tabel 1. Van DNA naar eiwit</w:t>
      </w:r>
    </w:p>
    <w:tbl>
      <w:tblPr>
        <w:tblStyle w:val="TableGrid"/>
        <w:tblW w:type="auto" w:w="0"/>
        <w:tblLook w:firstColumn="1" w:firstRow="1" w:lastColumn="0" w:lastRow="0" w:noHBand="0" w:noVBand="1" w:val="04A0"/>
      </w:tblPr>
      <w:tblGrid>
        <w:gridCol w:w="2880"/>
        <w:gridCol w:w="2880"/>
        <w:gridCol w:w="2880"/>
      </w:tblGrid>
      <w:tr>
        <w:tc>
          <w:tcPr>
            <w:tcW w:type="dxa" w:w="2880"/>
          </w:tcPr>
          <w:p>
            <w:r>
              <w:t>Stap</w:t>
            </w:r>
          </w:p>
        </w:tc>
        <w:tc>
          <w:tcPr>
            <w:tcW w:type="dxa" w:w="2880"/>
          </w:tcPr>
          <w:p>
            <w:r>
              <w:t>Wat gebeurt er?</w:t>
            </w:r>
          </w:p>
        </w:tc>
        <w:tc>
          <w:tcPr>
            <w:tcW w:type="dxa" w:w="2880"/>
          </w:tcPr>
          <w:p>
            <w:r>
              <w:t>Belangrijke termen</w:t>
            </w:r>
          </w:p>
        </w:tc>
      </w:tr>
      <w:tr>
        <w:tc>
          <w:tcPr>
            <w:tcW w:type="dxa" w:w="2880"/>
          </w:tcPr>
          <w:p>
            <w:r>
              <w:t>Transcriptie</w:t>
            </w:r>
          </w:p>
        </w:tc>
        <w:tc>
          <w:tcPr>
            <w:tcW w:type="dxa" w:w="2880"/>
          </w:tcPr>
          <w:p>
            <w:r>
              <w:t>RNA-polymerase maakt een kopie van een deel van het DNA in de vorm van mRNA</w:t>
            </w:r>
          </w:p>
        </w:tc>
        <w:tc>
          <w:tcPr>
            <w:tcW w:type="dxa" w:w="2880"/>
          </w:tcPr>
          <w:p>
            <w:r>
              <w:t>DNA → mRNA</w:t>
            </w:r>
          </w:p>
        </w:tc>
      </w:tr>
      <w:tr>
        <w:tc>
          <w:tcPr>
            <w:tcW w:type="dxa" w:w="2880"/>
          </w:tcPr>
          <w:p>
            <w:r>
              <w:t>Transport</w:t>
            </w:r>
          </w:p>
        </w:tc>
        <w:tc>
          <w:tcPr>
            <w:tcW w:type="dxa" w:w="2880"/>
          </w:tcPr>
          <w:p>
            <w:r>
              <w:t>mRNA verlaat de celkern en gaat naar het cytoplasma</w:t>
            </w:r>
          </w:p>
        </w:tc>
        <w:tc>
          <w:tcPr>
            <w:tcW w:type="dxa" w:w="2880"/>
          </w:tcPr>
          <w:p>
            <w:r>
              <w:t>mRNA</w:t>
            </w:r>
          </w:p>
        </w:tc>
      </w:tr>
      <w:tr>
        <w:tc>
          <w:tcPr>
            <w:tcW w:type="dxa" w:w="2880"/>
          </w:tcPr>
          <w:p>
            <w:r>
              <w:t>Translatie</w:t>
            </w:r>
          </w:p>
        </w:tc>
        <w:tc>
          <w:tcPr>
            <w:tcW w:type="dxa" w:w="2880"/>
          </w:tcPr>
          <w:p>
            <w:r>
              <w:t>Ribosomen lezen het mRNA af en maken een aminozuurketen</w:t>
            </w:r>
          </w:p>
        </w:tc>
        <w:tc>
          <w:tcPr>
            <w:tcW w:type="dxa" w:w="2880"/>
          </w:tcPr>
          <w:p>
            <w:r>
              <w:t>polypeptide</w:t>
            </w:r>
          </w:p>
        </w:tc>
      </w:tr>
      <w:tr>
        <w:tc>
          <w:tcPr>
            <w:tcW w:type="dxa" w:w="2880"/>
          </w:tcPr>
          <w:p>
            <w:r>
              <w:t>Vouwen</w:t>
            </w:r>
          </w:p>
        </w:tc>
        <w:tc>
          <w:tcPr>
            <w:tcW w:type="dxa" w:w="2880"/>
          </w:tcPr>
          <w:p>
            <w:r>
              <w:t>De polypeptideketen vouwt zich tot een eiwit</w:t>
            </w:r>
          </w:p>
        </w:tc>
        <w:tc>
          <w:tcPr>
            <w:tcW w:type="dxa" w:w="2880"/>
          </w:tcPr>
          <w:p>
            <w:r>
              <w:t>functioneel eiwit</w:t>
            </w:r>
          </w:p>
        </w:tc>
      </w:tr>
    </w:tbl>
    <w:p>
      <w:r>
        <w:t xml:space="preserve">Bij RNA gelden andere basenparen dan bij DNA. In DNA paart </w:t>
      </w:r>
      <w:r>
        <w:rPr>
          <w:b/>
        </w:rPr>
        <w:t>adenine (A)</w:t>
      </w:r>
      <w:r>
        <w:t xml:space="preserve"> met </w:t>
      </w:r>
      <w:r>
        <w:rPr>
          <w:b/>
        </w:rPr>
        <w:t>thymine (T)</w:t>
      </w:r>
      <w:r>
        <w:t xml:space="preserve"> en </w:t>
      </w:r>
      <w:r>
        <w:rPr>
          <w:b/>
        </w:rPr>
        <w:t>guanine (G)</w:t>
      </w:r>
      <w:r>
        <w:t xml:space="preserve"> met </w:t>
      </w:r>
      <w:r>
        <w:rPr>
          <w:b/>
        </w:rPr>
        <w:t>cytosine (C)</w:t>
      </w:r>
      <w:r>
        <w:t xml:space="preserve">. In RNA paart </w:t>
      </w:r>
      <w:r>
        <w:rPr>
          <w:b/>
        </w:rPr>
        <w:t>adenine (A)</w:t>
      </w:r>
      <w:r>
        <w:t xml:space="preserve"> met </w:t>
      </w:r>
      <w:r>
        <w:rPr>
          <w:b/>
        </w:rPr>
        <w:t>uracil (U)</w:t>
      </w:r>
      <w:r>
        <w:t xml:space="preserve"> en </w:t>
      </w:r>
      <w:r>
        <w:rPr>
          <w:b/>
        </w:rPr>
        <w:t>guanine (G)</w:t>
      </w:r>
      <w:r>
        <w:t xml:space="preserve"> met </w:t>
      </w:r>
      <w:r>
        <w:rPr>
          <w:b/>
        </w:rPr>
        <w:t>cytosine (C)</w:t>
      </w:r>
      <w:r>
        <w:t>.</w:t>
      </w:r>
    </w:p>
    <w:p>
      <w:pPr>
        <w:pStyle w:val="Heading4"/>
      </w:pPr>
      <w:r>
        <w:t>Genetische variatie en allelen</w:t>
      </w:r>
    </w:p>
    <w:p>
      <w:r>
        <w:t xml:space="preserve">Binnen het genoom komen variaties voor. De meest voorkomende variant is een </w:t>
      </w:r>
      <w:r>
        <w:rPr>
          <w:b/>
        </w:rPr>
        <w:t>substitutie van één nucleotide</w:t>
      </w:r>
      <w:r>
        <w:t xml:space="preserve"> door een ander nucleotide. Zo’n variant heet een </w:t>
      </w:r>
      <w:r>
        <w:rPr>
          <w:b/>
        </w:rPr>
        <w:t>Single Nucleotide Polymorphism (SNP)</w:t>
      </w:r>
      <w:r>
        <w:t>, uitgesproken als *snip*. De term SNP wordt gebruikt wanneer een variant bij meer dan 1% van de bevolking voorkomt.</w:t>
      </w:r>
    </w:p>
    <w:p>
      <w:r>
        <w:t>Genetische variatie kan leiden tot verschillende uitkomsten, bijvoorbeeld:</w:t>
      </w:r>
    </w:p>
    <w:p>
      <w:pPr>
        <w:pStyle w:val="ListBullet"/>
      </w:pPr>
      <w:r>
        <w:t xml:space="preserve">een </w:t>
      </w:r>
      <w:r>
        <w:rPr>
          <w:b/>
        </w:rPr>
        <w:t>actief eiwit</w:t>
      </w:r>
      <w:r>
        <w:t>,</w:t>
      </w:r>
    </w:p>
    <w:p>
      <w:pPr>
        <w:pStyle w:val="ListBullet"/>
      </w:pPr>
      <w:r>
        <w:t xml:space="preserve">een </w:t>
      </w:r>
      <w:r>
        <w:rPr>
          <w:b/>
        </w:rPr>
        <w:t>inactief eiwit</w:t>
      </w:r>
      <w:r>
        <w:t>,</w:t>
      </w:r>
    </w:p>
    <w:p>
      <w:pPr>
        <w:pStyle w:val="ListBullet"/>
      </w:pPr>
      <w:r>
        <w:rPr>
          <w:b/>
        </w:rPr>
        <w:t>meer eiwit</w:t>
      </w:r>
      <w:r>
        <w:t>,</w:t>
      </w:r>
    </w:p>
    <w:p>
      <w:pPr>
        <w:pStyle w:val="ListBullet"/>
      </w:pPr>
      <w:r>
        <w:t xml:space="preserve">of een </w:t>
      </w:r>
      <w:r>
        <w:rPr>
          <w:b/>
        </w:rPr>
        <w:t>afwijkend eiwit</w:t>
      </w:r>
      <w:r>
        <w:t>.</w:t>
      </w:r>
    </w:p>
    <w:p>
      <w:r>
        <w:t>Zo kan een genetische verandering dus invloed hebben op de gevoeligheid voor ziekte en/of medicijnen.</w:t>
      </w:r>
    </w:p>
    <w:p>
      <w:pPr>
        <w:pStyle w:val="Heading5"/>
      </w:pPr>
      <w:r>
        <w:t>Allelen en sternotatie</w:t>
      </w:r>
    </w:p>
    <w:p>
      <w:r>
        <w:t xml:space="preserve">Elk gen bestaat in principe uit twee kopieën. Die kopieën noemen we </w:t>
      </w:r>
      <w:r>
        <w:rPr>
          <w:b/>
        </w:rPr>
        <w:t>allelen</w:t>
      </w:r>
      <w:r>
        <w:t xml:space="preserve">: één geërfd van de moeder en één van de vader. Als beide allelen exact dezelfde genetische informatie bevatten, is iemand </w:t>
      </w:r>
      <w:r>
        <w:rPr>
          <w:b/>
        </w:rPr>
        <w:t>homozygoot</w:t>
      </w:r>
      <w:r>
        <w:t xml:space="preserve">. Als de twee allelen verschillend zijn, is iemand </w:t>
      </w:r>
      <w:r>
        <w:rPr>
          <w:b/>
        </w:rPr>
        <w:t>heterozygoot</w:t>
      </w:r>
      <w:r>
        <w:t>.</w:t>
      </w:r>
    </w:p>
    <w:p>
      <w:r>
        <w:t xml:space="preserve">In de farmacogenetica gebruiken we vaak de </w:t>
      </w:r>
      <w:r>
        <w:rPr>
          <w:b/>
        </w:rPr>
        <w:t>sterrennotatie</w:t>
      </w:r>
      <w:r>
        <w:t xml:space="preserve"> om allelen te benoemen, zoals **\*1, \*2, \*3** enzovoorts. De nummers geven de volgorde aan waarin de varianten zijn ontdekt.</w:t>
      </w:r>
    </w:p>
    <w:p>
      <w:pPr>
        <w:pStyle w:val="ListBullet"/>
      </w:pPr>
      <w:r>
        <w:rPr>
          <w:b/>
        </w:rPr>
        <w:t>Homozygoot</w:t>
      </w:r>
      <w:r>
        <w:t>: twee identieke allelen, bijvoorbeeld **GENA\*4/GENA\*4**</w:t>
      </w:r>
    </w:p>
    <w:p>
      <w:pPr>
        <w:pStyle w:val="ListBullet"/>
      </w:pPr>
      <w:r>
        <w:rPr>
          <w:b/>
        </w:rPr>
        <w:t>Heterozygoot</w:t>
      </w:r>
      <w:r>
        <w:t>: twee verschillende allelen, bijvoorbeeld **GENB\*1/GENB\*4**</w:t>
      </w:r>
    </w:p>
    <w:p>
      <w:r>
        <w:rPr>
          <w:b/>
        </w:rPr>
        <w:t>Aandachtsvraag: wat is het verschil tussen homozygoot en heterozygoot?</w:t>
      </w:r>
      <w:r>
        <w:t xml:space="preserve">  </w:t>
        <w:br/>
        <w:t>Bij homozygotie zijn beide allelen hetzelfde; bij heterozygotie zijn ze verschillend.</w:t>
      </w:r>
    </w:p>
    <w:p>
      <w:r>
        <w:t>Een SNP kan er bijvoorbeeld zo uitzien:</w:t>
      </w:r>
    </w:p>
    <w:p>
      <w:pPr>
        <w:pStyle w:val="ListBullet"/>
      </w:pPr>
      <w:r>
        <w:t>A &gt; C</w:t>
      </w:r>
    </w:p>
    <w:p>
      <w:pPr>
        <w:pStyle w:val="ListBullet"/>
      </w:pPr>
      <w:r>
        <w:t>T &gt; G</w:t>
      </w:r>
    </w:p>
    <w:p>
      <w:pPr>
        <w:pStyle w:val="Heading4"/>
      </w:pPr>
      <w:r>
        <w:t>CYP-enzymen en geneesmiddelmetabolisme</w:t>
      </w:r>
    </w:p>
    <w:p>
      <w:r>
        <w:t xml:space="preserve">De </w:t>
      </w:r>
      <w:r>
        <w:rPr>
          <w:b/>
        </w:rPr>
        <w:t>cytochroom P450-familie (CYP)</w:t>
      </w:r>
      <w:r>
        <w:t xml:space="preserve"> bestaat uit een grote groep enzymen die een cruciale rol spelen bij het metabolisme van veel stoffen in het lichaam. Ze zijn vooral aanwezig in de </w:t>
      </w:r>
      <w:r>
        <w:rPr>
          <w:b/>
        </w:rPr>
        <w:t>lever</w:t>
      </w:r>
      <w:r>
        <w:t xml:space="preserve">, maar ook in de </w:t>
      </w:r>
      <w:r>
        <w:rPr>
          <w:b/>
        </w:rPr>
        <w:t>darmwand</w:t>
      </w:r>
      <w:r>
        <w:t xml:space="preserve"> en zelfs in de </w:t>
      </w:r>
      <w:r>
        <w:rPr>
          <w:b/>
        </w:rPr>
        <w:t>hersenen</w:t>
      </w:r>
      <w:r>
        <w:t>. CYP-enzymen zijn belangrijk voor de afbraak van geneesmiddelen, maar ook voor de afbraak van endogene stoffen zoals hormonen.</w:t>
      </w:r>
    </w:p>
    <w:p>
      <w:r>
        <w:t xml:space="preserve">Sommige geneesmiddelen worden als </w:t>
      </w:r>
      <w:r>
        <w:rPr>
          <w:b/>
        </w:rPr>
        <w:t>prodrug</w:t>
      </w:r>
      <w:r>
        <w:t xml:space="preserve"> toegediend. Dat betekent dat de stof in de oorspronkelijke vorm nog niet werkzaam is en eerst door CYP-enzymen moet worden omgezet in de actieve vorm. Voorbeelden zijn </w:t>
      </w:r>
      <w:r>
        <w:rPr>
          <w:b/>
        </w:rPr>
        <w:t>tamoxifen</w:t>
      </w:r>
      <w:r>
        <w:t xml:space="preserve"> en </w:t>
      </w:r>
      <w:r>
        <w:rPr>
          <w:b/>
        </w:rPr>
        <w:t>clopidogrel</w:t>
      </w:r>
      <w:r>
        <w:t>.</w:t>
      </w:r>
    </w:p>
    <w:p>
      <w:r>
        <w:t>CYP-enzymen kunnen worden beïnvloed door andere stoffen:</w:t>
      </w:r>
    </w:p>
    <w:p>
      <w:pPr>
        <w:pStyle w:val="ListBullet"/>
      </w:pPr>
      <w:r>
        <w:rPr>
          <w:b/>
        </w:rPr>
        <w:t>remming</w:t>
      </w:r>
      <w:r>
        <w:t>: het CYP-enzym werkt minder goed;</w:t>
      </w:r>
    </w:p>
    <w:p>
      <w:pPr>
        <w:pStyle w:val="ListBullet"/>
      </w:pPr>
      <w:r>
        <w:rPr>
          <w:b/>
        </w:rPr>
        <w:t>inductie</w:t>
      </w:r>
      <w:r>
        <w:t>: het CYP-enzym werkt juist sterker.</w:t>
      </w:r>
    </w:p>
    <w:p>
      <w:r>
        <w:t>Daarom is het belangrijk om bij medicatiegebruik rekening te houden met interacties, omdat de effectiviteit en veiligheid van geneesmiddelen hierdoor sterk kunnen veranderen.</w:t>
      </w:r>
    </w:p>
    <w:p>
      <w:pPr>
        <w:pStyle w:val="Heading5"/>
      </w:pPr>
      <w:r>
        <w:t>Tabel 2. Fase I- en fase II-reacties in de lever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Fase</w:t>
            </w:r>
          </w:p>
        </w:tc>
        <w:tc>
          <w:tcPr>
            <w:tcW w:type="dxa" w:w="2160"/>
          </w:tcPr>
          <w:p>
            <w:r>
              <w:t>Functie</w:t>
            </w:r>
          </w:p>
        </w:tc>
        <w:tc>
          <w:tcPr>
            <w:tcW w:type="dxa" w:w="2160"/>
          </w:tcPr>
          <w:p>
            <w:r>
              <w:t>Reacties</w:t>
            </w:r>
          </w:p>
        </w:tc>
        <w:tc>
          <w:tcPr>
            <w:tcW w:type="dxa" w:w="2160"/>
          </w:tcPr>
          <w:p>
            <w:r>
              <w:t>Toelichting</w:t>
            </w:r>
          </w:p>
        </w:tc>
      </w:tr>
      <w:tr>
        <w:tc>
          <w:tcPr>
            <w:tcW w:type="dxa" w:w="2160"/>
          </w:tcPr>
          <w:p>
            <w:r>
              <w:t>Fase I</w:t>
            </w:r>
          </w:p>
        </w:tc>
        <w:tc>
          <w:tcPr>
            <w:tcW w:type="dxa" w:w="2160"/>
          </w:tcPr>
          <w:p>
            <w:r>
              <w:t>Verandering van de molecuulstructuur van het geneesmiddel</w:t>
            </w:r>
          </w:p>
        </w:tc>
        <w:tc>
          <w:tcPr>
            <w:tcW w:type="dxa" w:w="2160"/>
          </w:tcPr>
          <w:p>
            <w:r>
              <w:t>Oxidatie, reductie, hydrolyse</w:t>
            </w:r>
          </w:p>
        </w:tc>
        <w:tc>
          <w:tcPr>
            <w:tcW w:type="dxa" w:w="2160"/>
          </w:tcPr>
          <w:p>
            <w:r>
              <w:t>Inbouw van zuurstof of hydroxygroep, of dealkylering; of vervanging van stikstof/zuurstof door waterstof</w:t>
            </w:r>
          </w:p>
        </w:tc>
      </w:tr>
      <w:tr>
        <w:tc>
          <w:tcPr>
            <w:tcW w:type="dxa" w:w="2160"/>
          </w:tcPr>
          <w:p>
            <w:r>
              <w:t>Fase II</w:t>
            </w:r>
          </w:p>
        </w:tc>
        <w:tc>
          <w:tcPr>
            <w:tcW w:type="dxa" w:w="2160"/>
          </w:tcPr>
          <w:p>
            <w:r>
              <w:t>Koppeling van een endogeen hydrofiel molecuul</w:t>
            </w:r>
          </w:p>
        </w:tc>
        <w:tc>
          <w:tcPr>
            <w:tcW w:type="dxa" w:w="2160"/>
          </w:tcPr>
          <w:p>
            <w:r>
              <w:t>Conjugatie</w:t>
            </w:r>
          </w:p>
        </w:tc>
        <w:tc>
          <w:tcPr>
            <w:tcW w:type="dxa" w:w="2160"/>
          </w:tcPr>
          <w:p>
            <w:r>
              <w:t>Glucuronidering, sulfatering, acetylering of methylering</w:t>
            </w:r>
          </w:p>
        </w:tc>
      </w:tr>
    </w:tbl>
    <w:p>
      <w:r>
        <w:t xml:space="preserve">CYP-enzymen zijn betrokken bij </w:t>
      </w:r>
      <w:r>
        <w:rPr>
          <w:b/>
        </w:rPr>
        <w:t>fase I-reacties</w:t>
      </w:r>
      <w:r>
        <w:t xml:space="preserve">. In fase I wordt de molecuulstructuur veranderd. In fase II worden stoffen juist </w:t>
      </w:r>
      <w:r>
        <w:rPr>
          <w:b/>
        </w:rPr>
        <w:t>hydrofieler</w:t>
      </w:r>
      <w:r>
        <w:t xml:space="preserve"> gemaakt door koppeling aan een endogeen molecuul, zodat uitscheiding makkelijker wordt.</w:t>
      </w:r>
    </w:p>
    <w:p>
      <w:pPr>
        <w:pStyle w:val="Heading5"/>
      </w:pPr>
      <w:r>
        <w:t>Competitie tussen geneesmiddelen</w:t>
      </w:r>
    </w:p>
    <w:p>
      <w:r>
        <w:t xml:space="preserve">Als twee of meer geneesmiddelen door hetzelfde CYP-enzym worden gemetaboliseerd en tegelijk aanwezig zijn in het lichaam, kunnen ze </w:t>
      </w:r>
      <w:r>
        <w:rPr>
          <w:b/>
        </w:rPr>
        <w:t>concurreren</w:t>
      </w:r>
      <w:r>
        <w:t xml:space="preserve"> om datzelfde enzym. Omdat CYP-enzymen een beperkte capaciteit hebben, kan de afbraak van één of meerdere stoffen vertragen. Dat kan klinische gevolgen hebben.</w:t>
      </w:r>
    </w:p>
    <w:p>
      <w:r>
        <w:rPr>
          <w:b/>
        </w:rPr>
        <w:t>Aandachtsvraag: waarom is competitie tussen geneesmiddelen belangrijk?</w:t>
      </w:r>
      <w:r>
        <w:t xml:space="preserve">  </w:t>
        <w:br/>
        <w:t>Omdat meerdere stoffen hetzelfde CYP-enzym kunnen gebruiken, waardoor de afbraak van één stof trager kan verlopen.</w:t>
      </w:r>
    </w:p>
    <w:p>
      <w:pPr>
        <w:pStyle w:val="Heading5"/>
      </w:pPr>
      <w:r>
        <w:t>Remming en inductie</w:t>
      </w:r>
    </w:p>
    <w:p>
      <w:pPr>
        <w:pStyle w:val="ListBullet"/>
      </w:pPr>
      <w:r>
        <w:rPr>
          <w:b/>
        </w:rPr>
        <w:t>Remming</w:t>
      </w:r>
      <w:r>
        <w:t xml:space="preserve"> van een CYP-enzym zorgt ervoor dat een substraat langzamer wordt afgebroken. Daardoor kan de concentratie in het bloed stijgen.</w:t>
      </w:r>
    </w:p>
    <w:p>
      <w:pPr>
        <w:pStyle w:val="ListBullet"/>
      </w:pPr>
      <w:r>
        <w:rPr>
          <w:b/>
        </w:rPr>
        <w:t>Inductie</w:t>
      </w:r>
      <w:r>
        <w:t xml:space="preserve"> zorgt ervoor dat een substraat sneller wordt afgebroken. Daardoor kan de werkzaamheid afnemen.</w:t>
      </w:r>
    </w:p>
    <w:p>
      <w:r>
        <w:t xml:space="preserve">Een bekend voorbeeld is </w:t>
      </w:r>
      <w:r>
        <w:rPr>
          <w:b/>
        </w:rPr>
        <w:t>roken</w:t>
      </w:r>
      <w:r>
        <w:t xml:space="preserve">. Roken induceert </w:t>
      </w:r>
      <w:r>
        <w:rPr>
          <w:b/>
        </w:rPr>
        <w:t>CYP1A2</w:t>
      </w:r>
      <w:r>
        <w:t xml:space="preserve">. Daardoor wordt </w:t>
      </w:r>
      <w:r>
        <w:rPr>
          <w:b/>
        </w:rPr>
        <w:t>clozapine</w:t>
      </w:r>
      <w:r>
        <w:t xml:space="preserve"> sneller omgezet in inactieve metabolieten. Als een patiënt plots stopt met roken, valt die inductie weg en stijgt de clozapinespiegel. Het risico op toxiciteit neemt dan toe. Nicotinepleisters heffen deze inductie niet op, omdat de inductie vooral wordt veroorzaakt door de verbrandingsproducten van sigarettenrook en niet door nicotine zelf.</w:t>
      </w:r>
    </w:p>
    <w:p>
      <w:pPr>
        <w:pStyle w:val="Heading4"/>
      </w:pPr>
      <w:r>
        <w:t>Fenotype en genotypering</w:t>
      </w:r>
    </w:p>
    <w:p>
      <w:r>
        <w:t>Bij een genetische test kijken we naar de activiteit van enzymen. Die activiteit kan in vier categorieën worden ingedeeld:</w:t>
      </w:r>
    </w:p>
    <w:p>
      <w:pPr>
        <w:pStyle w:val="Heading5"/>
      </w:pPr>
      <w:r>
        <w:t>Tabel 3. Fenotypes van geneesmiddelmetabolisme</w:t>
      </w:r>
    </w:p>
    <w:tbl>
      <w:tblPr>
        <w:tblStyle w:val="TableGrid"/>
        <w:tblW w:type="auto" w:w="0"/>
        <w:tblLook w:firstColumn="1" w:firstRow="1" w:lastColumn="0" w:lastRow="0" w:noHBand="0" w:noVBand="1" w:val="04A0"/>
      </w:tblPr>
      <w:tblGrid>
        <w:gridCol w:w="2880"/>
        <w:gridCol w:w="2880"/>
        <w:gridCol w:w="2880"/>
      </w:tblGrid>
      <w:tr>
        <w:tc>
          <w:tcPr>
            <w:tcW w:type="dxa" w:w="2880"/>
          </w:tcPr>
          <w:p>
            <w:r>
              <w:t>Afkorting</w:t>
            </w:r>
          </w:p>
        </w:tc>
        <w:tc>
          <w:tcPr>
            <w:tcW w:type="dxa" w:w="2880"/>
          </w:tcPr>
          <w:p>
            <w:r>
              <w:t>Betekenis</w:t>
            </w:r>
          </w:p>
        </w:tc>
        <w:tc>
          <w:tcPr>
            <w:tcW w:type="dxa" w:w="2880"/>
          </w:tcPr>
          <w:p>
            <w:r>
              <w:t>Uitleg</w:t>
            </w:r>
          </w:p>
        </w:tc>
      </w:tr>
      <w:tr>
        <w:tc>
          <w:tcPr>
            <w:tcW w:type="dxa" w:w="2880"/>
          </w:tcPr>
          <w:p>
            <w:r>
              <w:t>PM</w:t>
            </w:r>
          </w:p>
        </w:tc>
        <w:tc>
          <w:tcPr>
            <w:tcW w:type="dxa" w:w="2880"/>
          </w:tcPr>
          <w:p>
            <w:r>
              <w:t>Poor metaboliser</w:t>
            </w:r>
          </w:p>
        </w:tc>
        <w:tc>
          <w:tcPr>
            <w:tcW w:type="dxa" w:w="2880"/>
          </w:tcPr>
          <w:p>
            <w:r>
              <w:t>Het enzym is er niet of heeft zeer weinig activiteit</w:t>
            </w:r>
          </w:p>
        </w:tc>
      </w:tr>
      <w:tr>
        <w:tc>
          <w:tcPr>
            <w:tcW w:type="dxa" w:w="2880"/>
          </w:tcPr>
          <w:p>
            <w:r>
              <w:t>IM</w:t>
            </w:r>
          </w:p>
        </w:tc>
        <w:tc>
          <w:tcPr>
            <w:tcW w:type="dxa" w:w="2880"/>
          </w:tcPr>
          <w:p>
            <w:r>
              <w:t>Intermediate metaboliser</w:t>
            </w:r>
          </w:p>
        </w:tc>
        <w:tc>
          <w:tcPr>
            <w:tcW w:type="dxa" w:w="2880"/>
          </w:tcPr>
          <w:p>
            <w:r>
              <w:t>Het enzym is minder actief dan bij de meeste mensen</w:t>
            </w:r>
          </w:p>
        </w:tc>
      </w:tr>
      <w:tr>
        <w:tc>
          <w:tcPr>
            <w:tcW w:type="dxa" w:w="2880"/>
          </w:tcPr>
          <w:p>
            <w:r>
              <w:t>NM</w:t>
            </w:r>
          </w:p>
        </w:tc>
        <w:tc>
          <w:tcPr>
            <w:tcW w:type="dxa" w:w="2880"/>
          </w:tcPr>
          <w:p>
            <w:r>
              <w:t>Normal metaboliser</w:t>
            </w:r>
          </w:p>
        </w:tc>
        <w:tc>
          <w:tcPr>
            <w:tcW w:type="dxa" w:w="2880"/>
          </w:tcPr>
          <w:p>
            <w:r>
              <w:t>Het enzym is normaal actief</w:t>
            </w:r>
          </w:p>
        </w:tc>
      </w:tr>
      <w:tr>
        <w:tc>
          <w:tcPr>
            <w:tcW w:type="dxa" w:w="2880"/>
          </w:tcPr>
          <w:p>
            <w:r>
              <w:t>UM</w:t>
            </w:r>
          </w:p>
        </w:tc>
        <w:tc>
          <w:tcPr>
            <w:tcW w:type="dxa" w:w="2880"/>
          </w:tcPr>
          <w:p>
            <w:r>
              <w:t>Ultrarapid metaboliser</w:t>
            </w:r>
          </w:p>
        </w:tc>
        <w:tc>
          <w:tcPr>
            <w:tcW w:type="dxa" w:w="2880"/>
          </w:tcPr>
          <w:p>
            <w:r>
              <w:t>Het enzym is actiever dan bij de meeste mensen</w:t>
            </w:r>
          </w:p>
        </w:tc>
      </w:tr>
    </w:tbl>
    <w:p>
      <w:r>
        <w:t xml:space="preserve">Bij een verminderde metabole enzymactiviteit, zoals bij </w:t>
      </w:r>
      <w:r>
        <w:rPr>
          <w:b/>
        </w:rPr>
        <w:t>PM’s</w:t>
      </w:r>
      <w:r>
        <w:t xml:space="preserve"> of </w:t>
      </w:r>
      <w:r>
        <w:rPr>
          <w:b/>
        </w:rPr>
        <w:t>IM’s</w:t>
      </w:r>
      <w:r>
        <w:t>, kunnen bijwerkingen eerder optreden door hogere plasmaconcentraties. Dat geldt niet bij een prodrug.</w:t>
      </w:r>
    </w:p>
    <w:p>
      <w:r>
        <w:t>Fenotype wordt niet alleen bepaald door het genotype, maar ook door omgevingsfactoren, zoals:</w:t>
      </w:r>
    </w:p>
    <w:p>
      <w:pPr>
        <w:pStyle w:val="ListBullet"/>
      </w:pPr>
      <w:r>
        <w:rPr>
          <w:b/>
        </w:rPr>
        <w:t>comedicatie</w:t>
      </w:r>
      <w:r>
        <w:t>,</w:t>
      </w:r>
    </w:p>
    <w:p>
      <w:pPr>
        <w:pStyle w:val="ListBullet"/>
      </w:pPr>
      <w:r>
        <w:rPr>
          <w:b/>
        </w:rPr>
        <w:t>voeding</w:t>
      </w:r>
      <w:r>
        <w:t>,</w:t>
      </w:r>
    </w:p>
    <w:p>
      <w:pPr>
        <w:pStyle w:val="ListBullet"/>
      </w:pPr>
      <w:r>
        <w:rPr>
          <w:b/>
        </w:rPr>
        <w:t>roken</w:t>
      </w:r>
      <w:r>
        <w:t>,</w:t>
      </w:r>
    </w:p>
    <w:p>
      <w:pPr>
        <w:pStyle w:val="ListBullet"/>
      </w:pPr>
      <w:r>
        <w:rPr>
          <w:b/>
        </w:rPr>
        <w:t>comorbiditeit</w:t>
      </w:r>
      <w:r>
        <w:t>.</w:t>
      </w:r>
    </w:p>
    <w:p>
      <w:r>
        <w:t xml:space="preserve">In oudere artikelen kan soms de term </w:t>
      </w:r>
      <w:r>
        <w:rPr>
          <w:b/>
        </w:rPr>
        <w:t>extensive metaboliser</w:t>
      </w:r>
      <w:r>
        <w:t xml:space="preserve"> voorkomen. Die term is later aangepast naar </w:t>
      </w:r>
      <w:r>
        <w:rPr>
          <w:b/>
        </w:rPr>
        <w:t>normal metaboliser (NM)</w:t>
      </w:r>
      <w:r>
        <w:t>. In de praktijk betekenen deze termen ongeveer hetzelfde.</w:t>
      </w:r>
    </w:p>
    <w:p>
      <w:pPr>
        <w:pStyle w:val="Heading5"/>
      </w:pPr>
      <w:r>
        <w:t>Preventieve en retrospectieve genotypering</w:t>
      </w:r>
    </w:p>
    <w:p>
      <w:r>
        <w:t xml:space="preserve">Bij </w:t>
      </w:r>
      <w:r>
        <w:rPr>
          <w:b/>
        </w:rPr>
        <w:t>preventief genotyperen</w:t>
      </w:r>
      <w:r>
        <w:t xml:space="preserve"> wordt vooraf getest om de startdosering van geneesmiddelen af te stemmen op het genetisch profiel van een patiënt. Het doel is om het risico op toxiciteit te verkleinen. Deze aanpak wordt vooral gebruikt wanneer het risico op toxiciteit groot is en de veiligheid van de behandeling daardoor beïnvloed kan worden.</w:t>
      </w:r>
    </w:p>
    <w:p>
      <w:r>
        <w:t xml:space="preserve">Bij </w:t>
      </w:r>
      <w:r>
        <w:rPr>
          <w:b/>
        </w:rPr>
        <w:t>retrospectief genotyperen</w:t>
      </w:r>
      <w:r>
        <w:t xml:space="preserve"> wordt na de start van de behandeling getest, bijvoorbeeld bij:</w:t>
      </w:r>
    </w:p>
    <w:p>
      <w:pPr>
        <w:pStyle w:val="ListBullet"/>
      </w:pPr>
      <w:r>
        <w:t>onverwachte bijwerkingen,</w:t>
      </w:r>
    </w:p>
    <w:p>
      <w:pPr>
        <w:pStyle w:val="ListBullet"/>
      </w:pPr>
      <w:r>
        <w:t>uitblijven van effect,</w:t>
      </w:r>
    </w:p>
    <w:p>
      <w:pPr>
        <w:pStyle w:val="ListBullet"/>
      </w:pPr>
      <w:r>
        <w:t>onverklaarbaar hoge of lage geneesmiddelspiegels.</w:t>
      </w:r>
    </w:p>
    <w:p>
      <w:r>
        <w:t>Daarbij is het belangrijk om eerst andere oorzaken uit te sluiten, zoals therapieontrouw, voeding of co-medicatie die de werking van het geneesmiddel beïnvloedt.</w:t>
      </w:r>
    </w:p>
    <w:p>
      <w:pPr>
        <w:pStyle w:val="Heading5"/>
      </w:pPr>
      <w:r>
        <w:t>Tabel 4. Preventief versus retrospectief genotyperen</w:t>
      </w:r>
    </w:p>
    <w:tbl>
      <w:tblPr>
        <w:tblStyle w:val="TableGrid"/>
        <w:tblW w:type="auto" w:w="0"/>
        <w:tblLook w:firstColumn="1" w:firstRow="1" w:lastColumn="0" w:lastRow="0" w:noHBand="0" w:noVBand="1" w:val="04A0"/>
      </w:tblPr>
      <w:tblGrid>
        <w:gridCol w:w="2880"/>
        <w:gridCol w:w="2880"/>
        <w:gridCol w:w="2880"/>
      </w:tblGrid>
      <w:tr>
        <w:tc>
          <w:tcPr>
            <w:tcW w:type="dxa" w:w="2880"/>
          </w:tcPr>
          <w:p>
            <w:r>
              <w:t>Vorm</w:t>
            </w:r>
          </w:p>
        </w:tc>
        <w:tc>
          <w:tcPr>
            <w:tcW w:type="dxa" w:w="2880"/>
          </w:tcPr>
          <w:p>
            <w:r>
              <w:t>Wanneer?</w:t>
            </w:r>
          </w:p>
        </w:tc>
        <w:tc>
          <w:tcPr>
            <w:tcW w:type="dxa" w:w="2880"/>
          </w:tcPr>
          <w:p>
            <w:r>
              <w:t>Doel</w:t>
            </w:r>
          </w:p>
        </w:tc>
      </w:tr>
      <w:tr>
        <w:tc>
          <w:tcPr>
            <w:tcW w:type="dxa" w:w="2880"/>
          </w:tcPr>
          <w:p>
            <w:r>
              <w:t>Preventief</w:t>
            </w:r>
          </w:p>
        </w:tc>
        <w:tc>
          <w:tcPr>
            <w:tcW w:type="dxa" w:w="2880"/>
          </w:tcPr>
          <w:p>
            <w:r>
              <w:t>Vóór start van behandeling</w:t>
            </w:r>
          </w:p>
        </w:tc>
        <w:tc>
          <w:tcPr>
            <w:tcW w:type="dxa" w:w="2880"/>
          </w:tcPr>
          <w:p>
            <w:r>
              <w:t>Startdosering en geneesmiddelkeuze afstemmen op genotype</w:t>
            </w:r>
          </w:p>
        </w:tc>
      </w:tr>
      <w:tr>
        <w:tc>
          <w:tcPr>
            <w:tcW w:type="dxa" w:w="2880"/>
          </w:tcPr>
          <w:p>
            <w:r>
              <w:t>Retrospectief</w:t>
            </w:r>
          </w:p>
        </w:tc>
        <w:tc>
          <w:tcPr>
            <w:tcW w:type="dxa" w:w="2880"/>
          </w:tcPr>
          <w:p>
            <w:r>
              <w:t>Na start van behandeling</w:t>
            </w:r>
          </w:p>
        </w:tc>
        <w:tc>
          <w:tcPr>
            <w:tcW w:type="dxa" w:w="2880"/>
          </w:tcPr>
          <w:p>
            <w:r>
              <w:t>Verklaring zoeken voor afwijkende respons of bijwerkingen</w:t>
            </w:r>
          </w:p>
        </w:tc>
      </w:tr>
    </w:tbl>
    <w:p>
      <w:pPr>
        <w:pStyle w:val="Heading4"/>
      </w:pPr>
      <w:r>
        <w:t>Toepassing in de kliniek: clopidogrel en CYP2C19</w:t>
      </w:r>
    </w:p>
    <w:p>
      <w:r>
        <w:rPr>
          <w:b/>
        </w:rPr>
        <w:t>Clopidogrel</w:t>
      </w:r>
      <w:r>
        <w:t xml:space="preserve"> is een antitromboticum en werkt als </w:t>
      </w:r>
      <w:r>
        <w:rPr>
          <w:b/>
        </w:rPr>
        <w:t>P2Y12-remmer</w:t>
      </w:r>
      <w:r>
        <w:t>. Het wordt gebruikt als secundaire preventie van atherotrombotische complicaties, bijvoorbeeld:</w:t>
      </w:r>
    </w:p>
    <w:p>
      <w:pPr>
        <w:pStyle w:val="ListBullet"/>
      </w:pPr>
      <w:r>
        <w:t>na een myocardinfarct, vaak in combinatie met acetylsalicylzuur,</w:t>
      </w:r>
    </w:p>
    <w:p>
      <w:pPr>
        <w:pStyle w:val="ListBullet"/>
      </w:pPr>
      <w:r>
        <w:t>na een TIA of ischemisch CVA,</w:t>
      </w:r>
    </w:p>
    <w:p>
      <w:pPr>
        <w:pStyle w:val="ListBullet"/>
      </w:pPr>
      <w:r>
        <w:t>bij perifeer arterieel vaatlijden.</w:t>
      </w:r>
    </w:p>
    <w:p>
      <w:r>
        <w:t xml:space="preserve">Clopidogrel is een </w:t>
      </w:r>
      <w:r>
        <w:rPr>
          <w:b/>
        </w:rPr>
        <w:t>prodrug</w:t>
      </w:r>
      <w:r>
        <w:t xml:space="preserve"> en moet eerst door </w:t>
      </w:r>
      <w:r>
        <w:rPr>
          <w:b/>
        </w:rPr>
        <w:t>CYP2C19</w:t>
      </w:r>
      <w:r>
        <w:t xml:space="preserve"> worden omgezet in een </w:t>
      </w:r>
      <w:r>
        <w:rPr>
          <w:b/>
        </w:rPr>
        <w:t>actief metaboliet</w:t>
      </w:r>
      <w:r>
        <w:t xml:space="preserve"> voordat het effect heeft op de P2Y12-receptor op bloedplaatjes.</w:t>
      </w:r>
    </w:p>
    <w:p>
      <w:r>
        <w:t xml:space="preserve">Andere P2Y12-remmers zijn </w:t>
      </w:r>
      <w:r>
        <w:rPr>
          <w:b/>
        </w:rPr>
        <w:t>prasugrel</w:t>
      </w:r>
      <w:r>
        <w:t xml:space="preserve"> en </w:t>
      </w:r>
      <w:r>
        <w:rPr>
          <w:b/>
        </w:rPr>
        <w:t>ticagrelor</w:t>
      </w:r>
      <w:r>
        <w:t>.</w:t>
      </w:r>
    </w:p>
    <w:p>
      <w:pPr>
        <w:pStyle w:val="Heading5"/>
      </w:pPr>
      <w:r>
        <w:t>CYP2C19-variatie</w:t>
      </w:r>
    </w:p>
    <w:p>
      <w:r>
        <w:t>Er bestaan verschillende CYP2C19-varianten. De verdeling verschilt per populatie:</w:t>
      </w:r>
    </w:p>
    <w:p>
      <w:pPr>
        <w:pStyle w:val="ListBullet"/>
      </w:pPr>
      <w:r>
        <w:t>**\*2</w:t>
      </w:r>
      <w:r>
        <w:rPr>
          <w:b/>
        </w:rPr>
        <w:t xml:space="preserve"> en </w:t>
      </w:r>
      <w:r>
        <w:t>\*3** komen vaker voor in Aziatische populaties dan in witte en Afrikaanse populaties.</w:t>
      </w:r>
    </w:p>
    <w:p>
      <w:pPr>
        <w:pStyle w:val="ListBullet"/>
      </w:pPr>
      <w:r>
        <w:t xml:space="preserve">Dat verklaart mede waarom </w:t>
      </w:r>
      <w:r>
        <w:rPr>
          <w:b/>
        </w:rPr>
        <w:t>poor metabolizers</w:t>
      </w:r>
      <w:r>
        <w:t xml:space="preserve"> vaker voorkomen bij Aziaten.</w:t>
      </w:r>
    </w:p>
    <w:p>
      <w:pPr>
        <w:pStyle w:val="ListBullet"/>
      </w:pPr>
      <w:r>
        <w:t>**\*4** is vrijwel afwezig bij Aziaten en Afrikanen.</w:t>
      </w:r>
    </w:p>
    <w:p>
      <w:pPr>
        <w:pStyle w:val="ListBullet"/>
      </w:pPr>
      <w:r>
        <w:t>**\*17** komt juist vaker voor in witte en Afrikaanse populaties dan in Oost-Aziatische populaties.</w:t>
      </w:r>
    </w:p>
    <w:p>
      <w:r>
        <w:t>In de tabel met allelen en metabole capaciteit geldt:</w:t>
      </w:r>
    </w:p>
    <w:p>
      <w:pPr>
        <w:pStyle w:val="ListBullet"/>
      </w:pPr>
      <w:r>
        <w:t>**\*1** = normaal,</w:t>
      </w:r>
    </w:p>
    <w:p>
      <w:pPr>
        <w:pStyle w:val="ListBullet"/>
      </w:pPr>
      <w:r>
        <w:t>**\*2, \*3, \*4, \*5, \*6, \*7, \*8** = afwezig,</w:t>
      </w:r>
    </w:p>
    <w:p>
      <w:pPr>
        <w:pStyle w:val="ListBullet"/>
      </w:pPr>
      <w:r>
        <w:t>**\*9, \*10** = verminderd,</w:t>
      </w:r>
    </w:p>
    <w:p>
      <w:pPr>
        <w:pStyle w:val="ListBullet"/>
      </w:pPr>
      <w:r>
        <w:t>**\*17** = verhoogd.</w:t>
      </w:r>
    </w:p>
    <w:p>
      <w:r>
        <w:t>Voor het fenotype geldt daarbij:</w:t>
      </w:r>
    </w:p>
    <w:p>
      <w:pPr>
        <w:pStyle w:val="ListBullet"/>
      </w:pPr>
      <w:r>
        <w:t>**\*1/\*17** → EM/NM</w:t>
      </w:r>
    </w:p>
    <w:p>
      <w:pPr>
        <w:pStyle w:val="ListBullet"/>
      </w:pPr>
      <w:r>
        <w:t>**\*2/\*17</w:t>
      </w:r>
      <w:r>
        <w:rPr>
          <w:b/>
        </w:rPr>
        <w:t xml:space="preserve"> en </w:t>
      </w:r>
      <w:r>
        <w:t>\*3/\*17** → IM</w:t>
      </w:r>
    </w:p>
    <w:p>
      <w:pPr>
        <w:pStyle w:val="ListBullet"/>
      </w:pPr>
      <w:r>
        <w:t>**\*17/\*17** → UM</w:t>
      </w:r>
    </w:p>
    <w:p>
      <w:pPr>
        <w:pStyle w:val="Heading5"/>
      </w:pPr>
      <w:r>
        <w:t>Tabel 5. Belangrijke klinische voorbeelden bij clopidogrel</w:t>
      </w:r>
    </w:p>
    <w:tbl>
      <w:tblPr>
        <w:tblStyle w:val="TableGrid"/>
        <w:tblW w:type="auto" w:w="0"/>
        <w:tblLook w:firstColumn="1" w:firstRow="1" w:lastColumn="0" w:lastRow="0" w:noHBand="0" w:noVBand="1" w:val="04A0"/>
      </w:tblPr>
      <w:tblGrid>
        <w:gridCol w:w="2880"/>
        <w:gridCol w:w="2880"/>
        <w:gridCol w:w="2880"/>
      </w:tblGrid>
      <w:tr>
        <w:tc>
          <w:tcPr>
            <w:tcW w:type="dxa" w:w="2880"/>
          </w:tcPr>
          <w:p>
            <w:r>
              <w:t>Studie/voorbeeld</w:t>
            </w:r>
          </w:p>
        </w:tc>
        <w:tc>
          <w:tcPr>
            <w:tcW w:type="dxa" w:w="2880"/>
          </w:tcPr>
          <w:p>
            <w:r>
              <w:t>Kern</w:t>
            </w:r>
          </w:p>
        </w:tc>
        <w:tc>
          <w:tcPr>
            <w:tcW w:type="dxa" w:w="2880"/>
          </w:tcPr>
          <w:p>
            <w:r>
              <w:t>Belangrijkste uitkomst</w:t>
            </w:r>
          </w:p>
        </w:tc>
      </w:tr>
      <w:tr>
        <w:tc>
          <w:tcPr>
            <w:tcW w:type="dxa" w:w="2880"/>
          </w:tcPr>
          <w:p>
            <w:r>
              <w:t>TAILOR-PCI</w:t>
            </w:r>
          </w:p>
        </w:tc>
        <w:tc>
          <w:tcPr>
            <w:tcW w:type="dxa" w:w="2880"/>
          </w:tcPr>
          <w:p>
            <w:r>
              <w:t>Genotypegeleide P2Y12-remmerkeuze vs conventionele therapie</w:t>
            </w:r>
          </w:p>
        </w:tc>
        <w:tc>
          <w:tcPr>
            <w:tcW w:type="dxa" w:w="2880"/>
          </w:tcPr>
          <w:p>
            <w:r>
              <w:t>Geen significant verschil in samengesteld cardiovasculair eindpunt of bloedingen na 12 maanden</w:t>
            </w:r>
          </w:p>
        </w:tc>
      </w:tr>
      <w:tr>
        <w:tc>
          <w:tcPr>
            <w:tcW w:type="dxa" w:w="2880"/>
          </w:tcPr>
          <w:p>
            <w:r>
              <w:t>POPular Genetics</w:t>
            </w:r>
          </w:p>
        </w:tc>
        <w:tc>
          <w:tcPr>
            <w:tcW w:type="dxa" w:w="2880"/>
          </w:tcPr>
          <w:p>
            <w:r>
              <w:t>Genotypegeleide DAPT vs conventionele behandeling</w:t>
            </w:r>
          </w:p>
        </w:tc>
        <w:tc>
          <w:tcPr>
            <w:tcW w:type="dxa" w:w="2880"/>
          </w:tcPr>
          <w:p>
            <w:r>
              <w:t>Even effectief op ernstige cardiovasculaire uitkomsten; minder matig-ernstige/“minor” bloedingen; NNT 37 voor één bloedingsvoorkomen</w:t>
            </w:r>
          </w:p>
        </w:tc>
      </w:tr>
      <w:tr>
        <w:tc>
          <w:tcPr>
            <w:tcW w:type="dxa" w:w="2880"/>
          </w:tcPr>
          <w:p>
            <w:r>
              <w:t>CHANCE-2</w:t>
            </w:r>
          </w:p>
        </w:tc>
        <w:tc>
          <w:tcPr>
            <w:tcW w:type="dxa" w:w="2880"/>
          </w:tcPr>
          <w:p>
            <w:r>
              <w:t>Ticagrelor + aspirine vs clopidogrel + aspirine bij LOF-dragers met TIA/lichte beroerte</w:t>
            </w:r>
          </w:p>
        </w:tc>
        <w:tc>
          <w:tcPr>
            <w:tcW w:type="dxa" w:w="2880"/>
          </w:tcPr>
          <w:p>
            <w:r>
              <w:t>Ticagrelor was superieur in het voorkomen van nieuwe beroerte, zonder toename van ernstige of matige bloedingen; totale bloedingen kwamen vaker voor met ticagrelor</w:t>
            </w:r>
          </w:p>
        </w:tc>
      </w:tr>
    </w:tbl>
    <w:p>
      <w:r>
        <w:rPr>
          <w:b/>
        </w:rPr>
        <w:t>Wat betekent LOF?</w:t>
      </w:r>
      <w:r>
        <w:t xml:space="preserve">  </w:t>
        <w:br/>
        <w:t xml:space="preserve">LOF staat voor </w:t>
      </w:r>
      <w:r>
        <w:rPr>
          <w:b/>
        </w:rPr>
        <w:t>loss of function</w:t>
      </w:r>
      <w:r>
        <w:t>: een variant die leidt tot verminderde of afwezige enzymactiviteit.</w:t>
      </w:r>
    </w:p>
    <w:p>
      <w:r>
        <w:t>Belangrijk is dat de meerwaarde van farmacogenetica kan verschillen per studie en per specialisme. Sommige vakgebieden passen farmacogenetica proactief toe, terwijl andere daar minder snel gebruik van maken.</w:t>
      </w:r>
    </w:p>
    <w:p>
      <w:pPr>
        <w:pStyle w:val="Heading4"/>
      </w:pPr>
      <w:r>
        <w:t>Toepassing in de kliniek: metoprolol en CYP2D6</w:t>
      </w:r>
    </w:p>
    <w:p>
      <w:r>
        <w:rPr>
          <w:b/>
        </w:rPr>
        <w:t>Metoprolol</w:t>
      </w:r>
      <w:r>
        <w:t xml:space="preserve"> is een lipofiele selectieve </w:t>
      </w:r>
      <w:r>
        <w:rPr>
          <w:b/>
        </w:rPr>
        <w:t>bètablokker</w:t>
      </w:r>
      <w:r>
        <w:t xml:space="preserve">. Het aangrijpingspunt is de </w:t>
      </w:r>
      <w:r>
        <w:rPr>
          <w:b/>
        </w:rPr>
        <w:t>β1-receptor</w:t>
      </w:r>
      <w:r>
        <w:t xml:space="preserve"> op cardiale cellen. Metoprolol wordt in de lever afgebroken via </w:t>
      </w:r>
      <w:r>
        <w:rPr>
          <w:b/>
        </w:rPr>
        <w:t>CYP2D6</w:t>
      </w:r>
      <w:r>
        <w:t xml:space="preserve"> tot inactieve metabolieten.</w:t>
      </w:r>
    </w:p>
    <w:p>
      <w:r>
        <w:t>Metoprolol wordt gebruikt bij onder andere:</w:t>
      </w:r>
    </w:p>
    <w:p>
      <w:pPr>
        <w:pStyle w:val="ListBullet"/>
      </w:pPr>
      <w:r>
        <w:t>hypertensie,</w:t>
      </w:r>
    </w:p>
    <w:p>
      <w:pPr>
        <w:pStyle w:val="ListBullet"/>
      </w:pPr>
      <w:r>
        <w:t>coronairlijden,</w:t>
      </w:r>
    </w:p>
    <w:p>
      <w:pPr>
        <w:pStyle w:val="ListBullet"/>
      </w:pPr>
      <w:r>
        <w:t>angina pectoris,</w:t>
      </w:r>
    </w:p>
    <w:p>
      <w:pPr>
        <w:pStyle w:val="ListBullet"/>
      </w:pPr>
      <w:r>
        <w:t>myocardinfarct,</w:t>
      </w:r>
    </w:p>
    <w:p>
      <w:pPr>
        <w:pStyle w:val="ListBullet"/>
      </w:pPr>
      <w:r>
        <w:t>hartfalen,</w:t>
      </w:r>
    </w:p>
    <w:p>
      <w:pPr>
        <w:pStyle w:val="ListBullet"/>
      </w:pPr>
      <w:r>
        <w:t>aritmieën.</w:t>
      </w:r>
    </w:p>
    <w:p>
      <w:pPr>
        <w:pStyle w:val="Heading5"/>
      </w:pPr>
      <w:r>
        <w:t>Gevolgen van CYP2D6-variatie</w:t>
      </w:r>
    </w:p>
    <w:p>
      <w:r>
        <w:t xml:space="preserve">Bij een </w:t>
      </w:r>
      <w:r>
        <w:rPr>
          <w:b/>
        </w:rPr>
        <w:t>ultrarapid metaboliser</w:t>
      </w:r>
      <w:r>
        <w:t xml:space="preserve"> wordt metoprolol sneller omgezet in een inactieve metaboliet. Daardoor is de blootstelling aan de actieve stof lager en kan de bloeddruk mogelijk minder goed dalen. Soms is dan een hogere dosis nodig.</w:t>
      </w:r>
    </w:p>
    <w:p>
      <w:r>
        <w:t xml:space="preserve">Bij co-medicatie is dit ook belangrijk. </w:t>
      </w:r>
      <w:r>
        <w:rPr>
          <w:b/>
        </w:rPr>
        <w:t>Fluoxetine</w:t>
      </w:r>
      <w:r>
        <w:t xml:space="preserve"> is een sterke </w:t>
      </w:r>
      <w:r>
        <w:rPr>
          <w:b/>
        </w:rPr>
        <w:t>CYP2D6-remmer</w:t>
      </w:r>
      <w:r>
        <w:t xml:space="preserve">. Als fluoxetine samen met metoprolol wordt gebruikt, wordt de klaring van metoprolol verminderd. Daardoor stijgen de spiegels van metoprolol, met risico op </w:t>
      </w:r>
      <w:r>
        <w:rPr>
          <w:b/>
        </w:rPr>
        <w:t>bradycardie</w:t>
      </w:r>
      <w:r>
        <w:t xml:space="preserve"> en </w:t>
      </w:r>
      <w:r>
        <w:rPr>
          <w:b/>
        </w:rPr>
        <w:t>hypotensie</w:t>
      </w:r>
      <w:r>
        <w:t>. Als fluoxetine wordt afgebouwd, verdwijnt die remming weer en kunnen de metoprololspiegels dalen, waardoor de bloeddrukcontrole minder goed kan worden.</w:t>
      </w:r>
    </w:p>
    <w:p>
      <w:pPr>
        <w:pStyle w:val="Heading5"/>
      </w:pPr>
      <w:r>
        <w:t>Wat als er geen farmacogenetisch profiel beschikbaar is?</w:t>
      </w:r>
    </w:p>
    <w:p>
      <w:r>
        <w:t>Er zijn drie mogelijkheden:</w:t>
      </w:r>
    </w:p>
    <w:p>
      <w:pPr>
        <w:pStyle w:val="ListNumber"/>
      </w:pPr>
      <w:r>
        <w:t>preventief genotyperen vóór start van de behandeling;</w:t>
      </w:r>
    </w:p>
    <w:p>
      <w:pPr>
        <w:pStyle w:val="ListNumber"/>
      </w:pPr>
      <w:r>
        <w:t xml:space="preserve">een andere antihypertensivum kiezen dat minder afhankelijk is van hepatische klaring, bijvoorbeeld </w:t>
      </w:r>
      <w:r>
        <w:rPr>
          <w:b/>
        </w:rPr>
        <w:t>atenolol</w:t>
      </w:r>
      <w:r>
        <w:t xml:space="preserve"> of </w:t>
      </w:r>
      <w:r>
        <w:rPr>
          <w:b/>
        </w:rPr>
        <w:t>sotalol</w:t>
      </w:r>
      <w:r>
        <w:t>;</w:t>
      </w:r>
    </w:p>
    <w:p>
      <w:pPr>
        <w:pStyle w:val="ListNumber"/>
      </w:pPr>
      <w:r>
        <w:t>metoprolol starten in de gebruikelijke dosering en de dosis ophogen op geleide van effect.</w:t>
      </w:r>
    </w:p>
    <w:p>
      <w:pPr>
        <w:pStyle w:val="Heading4"/>
      </w:pPr>
      <w:r>
        <w:t>Kosten en praktische betekenis</w:t>
      </w:r>
    </w:p>
    <w:p>
      <w:r>
        <w:t>De kosten van farmacogenetisch onderzoek verschillen per bepaling en hangen mede af van het aantal te testen varianten. Meestal worden de kosten door de verzekering gedekt, maar ze kunnen wel ten laste van het eigen risico komen. Daarom is het verstandig om ook het maatschappelijke kostenplaatje mee te nemen.</w:t>
      </w:r>
    </w:p>
    <w:p>
      <w:r>
        <w:t>Voorbeelden van kosten:</w:t>
      </w:r>
    </w:p>
    <w:p>
      <w:pPr>
        <w:pStyle w:val="ListBullet"/>
      </w:pPr>
      <w:r>
        <w:t xml:space="preserve">de meeste bepalingen: ongeveer </w:t>
      </w:r>
      <w:r>
        <w:rPr>
          <w:b/>
        </w:rPr>
        <w:t>€86</w:t>
      </w:r>
      <w:r>
        <w:t xml:space="preserve"> per test;</w:t>
      </w:r>
    </w:p>
    <w:p>
      <w:pPr>
        <w:pStyle w:val="ListBullet"/>
      </w:pPr>
      <w:r>
        <w:rPr>
          <w:b/>
        </w:rPr>
        <w:t>CYP2D6</w:t>
      </w:r>
      <w:r>
        <w:t xml:space="preserve">: ongeveer </w:t>
      </w:r>
      <w:r>
        <w:rPr>
          <w:b/>
        </w:rPr>
        <w:t>€191</w:t>
      </w:r>
      <w:r>
        <w:t>;</w:t>
      </w:r>
    </w:p>
    <w:p>
      <w:pPr>
        <w:pStyle w:val="ListBullet"/>
      </w:pPr>
      <w:r>
        <w:rPr>
          <w:b/>
        </w:rPr>
        <w:t>BCHE</w:t>
      </w:r>
      <w:r>
        <w:t xml:space="preserve">: ongeveer </w:t>
      </w:r>
      <w:r>
        <w:rPr>
          <w:b/>
        </w:rPr>
        <w:t>€128</w:t>
      </w:r>
      <w:r>
        <w:t>.</w:t>
      </w:r>
    </w:p>
    <w:p>
      <w:r>
        <w:t>Als er sprake is van een medische vraag, bijvoorbeeld bijwerkingen of ineffectiviteit, worden deze testen in principe vergoed. Bij twijfel kan het nuttig zijn om dit bij de verzekeraar na te vragen.</w:t>
      </w:r>
    </w:p>
    <w:p>
      <w:pPr>
        <w:pStyle w:val="Heading4"/>
      </w:pPr>
      <w:r>
        <w:t>DNA-medicatiepas</w:t>
      </w:r>
    </w:p>
    <w:p>
      <w:r>
        <w:t xml:space="preserve">Een </w:t>
      </w:r>
      <w:r>
        <w:rPr>
          <w:b/>
        </w:rPr>
        <w:t>DNA-medicatiepas</w:t>
      </w:r>
      <w:r>
        <w:t xml:space="preserve"> is een gepersonaliseerd hulpmiddel dat het genetisch profiel van een patiënt weergeeft. Op basis daarvan kan worden bepaald welke medicijnen het meest effectief en veilig zijn. De pas geeft inzicht in hoe het lichaam geneesmiddelen metaboliseert en helpt zo bij het voorkomen van bijwerkingen of ineffectieve behandelingen.</w:t>
      </w:r>
    </w:p>
    <w:p>
      <w:r>
        <w:t>De pas kan worden gebruikt voor een brede groep aandoeningen, zoals:</w:t>
      </w:r>
    </w:p>
    <w:p>
      <w:pPr>
        <w:pStyle w:val="ListBullet"/>
      </w:pPr>
      <w:r>
        <w:t>hart- en vaatziekten,</w:t>
      </w:r>
    </w:p>
    <w:p>
      <w:pPr>
        <w:pStyle w:val="ListBullet"/>
      </w:pPr>
      <w:r>
        <w:t>kanker,</w:t>
      </w:r>
    </w:p>
    <w:p>
      <w:pPr>
        <w:pStyle w:val="ListBullet"/>
      </w:pPr>
      <w:r>
        <w:t>psychiatrische aandoeningen,</w:t>
      </w:r>
    </w:p>
    <w:p>
      <w:pPr>
        <w:pStyle w:val="ListBullet"/>
      </w:pPr>
      <w:r>
        <w:t>andere chronische ziekten.</w:t>
      </w:r>
    </w:p>
    <w:p>
      <w:r>
        <w:t>Patiënten kunnen de pas zelf bewaren. Afhankelijk van de uitgever bevat de pas het genetisch profiel of een QR-code die zorgverleners kunnen scannen.</w:t>
      </w:r>
    </w:p>
    <w:p>
      <w:pPr>
        <w:pStyle w:val="Heading4"/>
      </w:pPr>
      <w:r>
        <w:t>Samenvatting</w:t>
      </w:r>
    </w:p>
    <w:p>
      <w:r>
        <w:t>Farmacogenetica laat zien dat genetische verschillen invloed kunnen hebben op de werking, afbraak en veiligheid van geneesmiddelen. Belangrijke begrippen zijn transcriptie, translatie, SNP’s, allelen, sternotatie, CYP-enzymen, fenotype en genotypering. CYP-enzymen spelen een grote rol bij geneesmiddelmetabolisme en kunnen worden geremd of geïnduceerd door andere stoffen, zoals rook of co-medicatie. Preventief genotyperen helpt om vooraf de dosering of middelkeuze aan te passen; retrospectief genotyperen is nuttig bij onverwachte respons of bijwerkingen. Klinisch zijn vooral clopidogrel/CYP2C19 en metoprolol/CYP2D6 belangrijke voorbeelden. De farmacogenetische toepasbaarheid kan per specialisme verschillen, maar het doel blijft hetzelfde: therapie optimaliseren op basis van het genetisch profiel van de patiënt.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