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53 – NVIC acute vergiftiging</w:t>
      </w:r>
    </w:p>
    <w:p>
      <w:pPr>
        <w:pStyle w:val="Heading4"/>
      </w:pPr>
      <w:r>
        <w:t>Leerdoelen</w:t>
      </w:r>
    </w:p>
    <w:p>
      <w:r>
        <w:t>Na het bestuderen van deze stof moet je:</w:t>
      </w:r>
    </w:p>
    <w:p>
      <w:pPr>
        <w:pStyle w:val="ListBullet"/>
      </w:pPr>
      <w:r>
        <w:t>bij intoxicaties de belangrijkste database kunnen raadplegen;</w:t>
      </w:r>
    </w:p>
    <w:p>
      <w:pPr>
        <w:pStyle w:val="ListBullet"/>
      </w:pPr>
      <w:r>
        <w:t>de belangrijkste medische professionals kunnen benoemen die betrokken zijn bij intoxicaties;</w:t>
      </w:r>
    </w:p>
    <w:p>
      <w:pPr>
        <w:pStyle w:val="ListBullet"/>
      </w:pPr>
      <w:r>
        <w:t>met behulp van de database een eerste advies en differentiaaldiagnose kunnen opstellen.</w:t>
      </w:r>
    </w:p>
    <w:p>
      <w:pPr>
        <w:pStyle w:val="Heading4"/>
      </w:pPr>
      <w:r>
        <w:t>Het NVIC: eerste vraagpunt bij intoxicaties</w:t>
      </w:r>
    </w:p>
    <w:p>
      <w:r>
        <w:t>Het Nationaal Vergiftigingen Informatie Centrum, meestal het NVIC genoemd, geeft medisch advies aan zorgprofessionals die in een spoedsituatie te maken hebben met een intoxicatie. Tegelijk beheert het NVIC de grootste Nederlandse databank met informatie over gevaarlijke stoffen. In die databank staat per stof onder andere welke symptomen kunnen optreden na blootstelling, hoe het beloop eruitziet en welke behandelingen mogelijk zijn.</w:t>
      </w:r>
    </w:p>
    <w:p>
      <w:r>
        <w:t>Het NVIC is daarmee een belangrijk kenniscentrum én een sparringpartner. Het wordt geraadpleegd door onder andere GGD’en, huisartsen, GAGS’en, de spoedeisende hulp, intensivisten, internisten, psychiaters, apothekers en dierenartsen. Voor dringend advies is het NVIC 24/7 bereikbaar via de website vergiftigingen.info of via het noodnummer 088 755 8000.</w:t>
      </w:r>
    </w:p>
    <w:p>
      <w:pPr>
        <w:pStyle w:val="Heading4"/>
      </w:pPr>
      <w:r>
        <w:t>Waarom is dit belangrijk voor de praktijk?</w:t>
      </w:r>
    </w:p>
    <w:p>
      <w:r>
        <w:t>Bij een vermoeden van vergiftiging moet je snel kunnen schakelen. De database helpt je om:</w:t>
      </w:r>
    </w:p>
    <w:p>
      <w:pPr>
        <w:pStyle w:val="ListBullet"/>
      </w:pPr>
      <w:r>
        <w:t>een stof te herkennen;</w:t>
      </w:r>
    </w:p>
    <w:p>
      <w:pPr>
        <w:pStyle w:val="ListBullet"/>
      </w:pPr>
      <w:r>
        <w:t>de verwachte klachten en complicaties te begrijpen;</w:t>
      </w:r>
    </w:p>
    <w:p>
      <w:pPr>
        <w:pStyle w:val="ListBullet"/>
      </w:pPr>
      <w:r>
        <w:t>diagnostiek en eerste behandeling te kiezen;</w:t>
      </w:r>
    </w:p>
    <w:p>
      <w:pPr>
        <w:pStyle w:val="ListBullet"/>
      </w:pPr>
      <w:r>
        <w:t>een eerste inschatting te maken van de ernst.</w:t>
      </w:r>
    </w:p>
    <w:p>
      <w:r>
        <w:t>Een handige manier van denken is: eerst de acute gevaren inschatten, daarna pas verfijnen. Bij intoxicaties geldt dus vaak: behandel eerst wat direct levensbedreigend is.</w:t>
      </w:r>
    </w:p>
    <w:p>
      <w:pPr>
        <w:pStyle w:val="Heading5"/>
      </w:pPr>
      <w:r>
        <w:t>Tabel 1. Belangrijke rollen rond intoxicaties</w:t>
      </w:r>
    </w:p>
    <w:tbl>
      <w:tblPr>
        <w:tblStyle w:val="TableGrid"/>
        <w:tblW w:type="auto" w:w="0"/>
        <w:tblLook w:firstColumn="1" w:firstRow="1" w:lastColumn="0" w:lastRow="0" w:noHBand="0" w:noVBand="1" w:val="04A0"/>
      </w:tblPr>
      <w:tblGrid>
        <w:gridCol w:w="4320"/>
        <w:gridCol w:w="4320"/>
      </w:tblGrid>
      <w:tr>
        <w:tc>
          <w:tcPr>
            <w:tcW w:type="dxa" w:w="4320"/>
          </w:tcPr>
          <w:p>
            <w:r>
              <w:t>Professionele rol</w:t>
            </w:r>
          </w:p>
        </w:tc>
        <w:tc>
          <w:tcPr>
            <w:tcW w:type="dxa" w:w="4320"/>
          </w:tcPr>
          <w:p>
            <w:r>
              <w:t>Taak in de context van intoxicaties</w:t>
            </w:r>
          </w:p>
        </w:tc>
      </w:tr>
      <w:tr>
        <w:tc>
          <w:tcPr>
            <w:tcW w:type="dxa" w:w="4320"/>
          </w:tcPr>
          <w:p>
            <w:r>
              <w:t>NVIC</w:t>
            </w:r>
          </w:p>
        </w:tc>
        <w:tc>
          <w:tcPr>
            <w:tcW w:type="dxa" w:w="4320"/>
          </w:tcPr>
          <w:p>
            <w:r>
              <w:t>Geeft toxicologisch medisch advies en beheert de databank</w:t>
            </w:r>
          </w:p>
        </w:tc>
      </w:tr>
      <w:tr>
        <w:tc>
          <w:tcPr>
            <w:tcW w:type="dxa" w:w="4320"/>
          </w:tcPr>
          <w:p>
            <w:r>
              <w:t>GGD-arts</w:t>
            </w:r>
          </w:p>
        </w:tc>
        <w:tc>
          <w:tcPr>
            <w:tcW w:type="dxa" w:w="4320"/>
          </w:tcPr>
          <w:p>
            <w:r>
              <w:t>Beoordeelt meldingen uit de publieke gezondheid en stelt een differentiaaldiagnose op</w:t>
            </w:r>
          </w:p>
        </w:tc>
      </w:tr>
      <w:tr>
        <w:tc>
          <w:tcPr>
            <w:tcW w:type="dxa" w:w="4320"/>
          </w:tcPr>
          <w:p>
            <w:r>
              <w:t>GAGS</w:t>
            </w:r>
          </w:p>
        </w:tc>
        <w:tc>
          <w:tcPr>
            <w:tcW w:type="dxa" w:w="4320"/>
          </w:tcPr>
          <w:p>
            <w:r>
              <w:t>Adviseert bij incidenten met gevaarlijke stoffen</w:t>
            </w:r>
          </w:p>
        </w:tc>
      </w:tr>
      <w:tr>
        <w:tc>
          <w:tcPr>
            <w:tcW w:type="dxa" w:w="4320"/>
          </w:tcPr>
          <w:p>
            <w:r>
              <w:t>SEH / intensivist / internist</w:t>
            </w:r>
          </w:p>
        </w:tc>
        <w:tc>
          <w:tcPr>
            <w:tcW w:type="dxa" w:w="4320"/>
          </w:tcPr>
          <w:p>
            <w:r>
              <w:t>Behandelt acute en ernstige intoxicaties</w:t>
            </w:r>
          </w:p>
        </w:tc>
      </w:tr>
      <w:tr>
        <w:tc>
          <w:tcPr>
            <w:tcW w:type="dxa" w:w="4320"/>
          </w:tcPr>
          <w:p>
            <w:r>
              <w:t>Huisarts / apotheker / psychiater / dierenarts</w:t>
            </w:r>
          </w:p>
        </w:tc>
        <w:tc>
          <w:tcPr>
            <w:tcW w:type="dxa" w:w="4320"/>
          </w:tcPr>
          <w:p>
            <w:r>
              <w:t>Komt ook met vergiftigingen in aanraking en kan advies nodig hebben</w:t>
            </w:r>
          </w:p>
        </w:tc>
      </w:tr>
    </w:tbl>
    <w:p>
      <w:pPr>
        <w:pStyle w:val="Heading4"/>
      </w:pPr>
      <w:r>
        <w:t>Hoe vaak wordt het NVIC geraadpleegd?</w:t>
      </w:r>
    </w:p>
    <w:p>
      <w:r>
        <w:t>Het NVIC wordt heel vaak geraadpleegd. In 2023 waren er:</w:t>
      </w:r>
    </w:p>
    <w:p>
      <w:pPr>
        <w:pStyle w:val="ListBullet"/>
      </w:pPr>
      <w:r>
        <w:t>43.612 telefonische raadplegingen;</w:t>
      </w:r>
    </w:p>
    <w:p>
      <w:pPr>
        <w:pStyle w:val="ListBullet"/>
      </w:pPr>
      <w:r>
        <w:t>204.596 raadplegingen via de website.</w:t>
      </w:r>
    </w:p>
    <w:p>
      <w:r>
        <w:t>De meeste telefonisch gemelde blootstellingen betroffen geneesmiddelen. Dat was 47% van alle telefonische meldingen. In 2023 ging het telefonisch over 20.136 blootstellingen aan geneesmiddelen bij mensen, waarvan 308 blootstellingen aan veterinaire geneesmiddelen, dus 2%.</w:t>
      </w:r>
    </w:p>
    <w:p>
      <w:r>
        <w:t>Een opvallend voorbeeld is paracetamol. Daar ging het alleen al om 2648 blootstellingen via de telefoon en 7848 blootstellingen via de website.</w:t>
      </w:r>
    </w:p>
    <w:p>
      <w:pPr>
        <w:pStyle w:val="Heading5"/>
      </w:pPr>
      <w:r>
        <w:t>Tabel 2. Veelvoorkomende middelen in de top van meldingen in 2023</w:t>
      </w:r>
    </w:p>
    <w:tbl>
      <w:tblPr>
        <w:tblStyle w:val="TableGrid"/>
        <w:tblW w:type="auto" w:w="0"/>
        <w:tblLook w:firstColumn="1" w:firstRow="1" w:lastColumn="0" w:lastRow="0" w:noHBand="0" w:noVBand="1" w:val="04A0"/>
      </w:tblPr>
      <w:tblGrid>
        <w:gridCol w:w="4320"/>
        <w:gridCol w:w="4320"/>
      </w:tblGrid>
      <w:tr>
        <w:tc>
          <w:tcPr>
            <w:tcW w:type="dxa" w:w="4320"/>
          </w:tcPr>
          <w:p>
            <w:r>
              <w:t>Type raadpleging</w:t>
            </w:r>
          </w:p>
        </w:tc>
        <w:tc>
          <w:tcPr>
            <w:tcW w:type="dxa" w:w="4320"/>
          </w:tcPr>
          <w:p>
            <w:r>
              <w:t>Top 3</w:t>
            </w:r>
          </w:p>
        </w:tc>
      </w:tr>
      <w:tr>
        <w:tc>
          <w:tcPr>
            <w:tcW w:type="dxa" w:w="4320"/>
          </w:tcPr>
          <w:p>
            <w:r>
              <w:t>Telefonisch</w:t>
            </w:r>
          </w:p>
        </w:tc>
        <w:tc>
          <w:tcPr>
            <w:tcW w:type="dxa" w:w="4320"/>
          </w:tcPr>
          <w:p>
            <w:r>
              <w:t>1. Cannabisproducten 2. Cocaïne 3. 3-MMC</w:t>
            </w:r>
          </w:p>
        </w:tc>
      </w:tr>
      <w:tr>
        <w:tc>
          <w:tcPr>
            <w:tcW w:type="dxa" w:w="4320"/>
          </w:tcPr>
          <w:p>
            <w:r>
              <w:t>Via de website</w:t>
            </w:r>
          </w:p>
        </w:tc>
        <w:tc>
          <w:tcPr>
            <w:tcW w:type="dxa" w:w="4320"/>
          </w:tcPr>
          <w:p>
            <w:r>
              <w:t>1. MDMA 2. Cocaïne 3. Cannabisproducten</w:t>
            </w:r>
          </w:p>
        </w:tc>
      </w:tr>
    </w:tbl>
    <w:p>
      <w:r>
        <w:t>Deze cijfers laten zien dat intoxicaties in de praktijk heel vaak met geneesmiddelen en drugs te maken hebben.</w:t>
      </w:r>
    </w:p>
    <w:p>
      <w:pPr>
        <w:pStyle w:val="Heading4"/>
      </w:pPr>
      <w:r>
        <w:t>Een melding voor de GGD-arts: denken in differentiaaldiagnose</w:t>
      </w:r>
    </w:p>
    <w:p>
      <w:r>
        <w:t>Stel je voor dat je als arts medische milieukunde bij de GGD Rotterdam-Rijnmond een melding krijgt van een burger met hoofdpijn, duizeligheid en slaperigheid. De klachten zijn begonnen nadat de woonkamer is verwarmd met waxinelichtjes en bloempotten, zodat de energiekosten laag konden blijven.</w:t>
      </w:r>
    </w:p>
    <w:p>
      <w:r>
        <w:t>Bij zo’n verhaal moet je direct denken aan een intoxicatie door koolstofmonoxide. De klachten zijn namelijk heel aspecifiek. Dat betekent dat ze bij veel verschillende aandoeningen kunnen passen. Juist daarom is de context belangrijk: een slecht geventileerde ruimte, een warmtebron op een onveilige manier en klachten die passen bij zuurstoftekort maken koolstofmonoxidevergiftiging een belangrijke mogelijkheid.</w:t>
      </w:r>
    </w:p>
    <w:p>
      <w:r>
        <w:t>Een aandachtspunt hierbij is dat je niet alleen naar de losse klachten kijkt, maar naar het geheel van:</w:t>
      </w:r>
    </w:p>
    <w:p>
      <w:pPr>
        <w:pStyle w:val="ListBullet"/>
      </w:pPr>
      <w:r>
        <w:t>de situatie;</w:t>
      </w:r>
    </w:p>
    <w:p>
      <w:pPr>
        <w:pStyle w:val="ListBullet"/>
      </w:pPr>
      <w:r>
        <w:t>de klachten;</w:t>
      </w:r>
    </w:p>
    <w:p>
      <w:pPr>
        <w:pStyle w:val="ListBullet"/>
      </w:pPr>
      <w:r>
        <w:t>de ernst;</w:t>
      </w:r>
    </w:p>
    <w:p>
      <w:pPr>
        <w:pStyle w:val="ListBullet"/>
      </w:pPr>
      <w:r>
        <w:t>en het mogelijke gevaar.</w:t>
      </w:r>
    </w:p>
    <w:p>
      <w:r>
        <w:rPr>
          <w:b/>
        </w:rPr>
        <w:t>Wat is dan de differentiaaldiagnose?</w:t>
      </w:r>
      <w:r>
        <w:t xml:space="preserve">  </w:t>
        <w:br/>
        <w:t>Bij dit soort klachten denk je onder andere aan:</w:t>
      </w:r>
    </w:p>
    <w:p>
      <w:pPr>
        <w:pStyle w:val="ListBullet"/>
      </w:pPr>
      <w:r>
        <w:t>koolstofmonoxidevergiftiging;</w:t>
      </w:r>
    </w:p>
    <w:p>
      <w:pPr>
        <w:pStyle w:val="ListBullet"/>
      </w:pPr>
      <w:r>
        <w:t>hypoxie;</w:t>
      </w:r>
    </w:p>
    <w:p>
      <w:pPr>
        <w:pStyle w:val="ListBullet"/>
      </w:pPr>
      <w:r>
        <w:t>hypotensie;</w:t>
      </w:r>
    </w:p>
    <w:p>
      <w:pPr>
        <w:pStyle w:val="ListBullet"/>
      </w:pPr>
      <w:r>
        <w:t>hyperventilatie;</w:t>
      </w:r>
    </w:p>
    <w:p>
      <w:pPr>
        <w:pStyle w:val="ListBullet"/>
      </w:pPr>
      <w:r>
        <w:t>anemie.</w:t>
      </w:r>
    </w:p>
    <w:p>
      <w:r>
        <w:t>Daarnaast kunnen ook hypoglycemie, migraine of recent hoofdtrauma meespelen in de differentiaaldiagnose.</w:t>
      </w:r>
    </w:p>
    <w:p>
      <w:pPr>
        <w:pStyle w:val="Heading4"/>
      </w:pPr>
      <w:r>
        <w:t>Koolstofmonoxidevergiftiging: wat zoek je op?</w:t>
      </w:r>
    </w:p>
    <w:p>
      <w:r>
        <w:t>Bij verdenking op koolstofmonoxidevergiftiging zoek je in de toxicologische databank naar de kenmerkende symptomen. Die zijn onder andere:</w:t>
      </w:r>
    </w:p>
    <w:p>
      <w:pPr>
        <w:pStyle w:val="ListBullet"/>
      </w:pPr>
      <w:r>
        <w:t>hoofdpijn;</w:t>
      </w:r>
    </w:p>
    <w:p>
      <w:pPr>
        <w:pStyle w:val="ListBullet"/>
      </w:pPr>
      <w:r>
        <w:t>misselijkheid;</w:t>
      </w:r>
    </w:p>
    <w:p>
      <w:pPr>
        <w:pStyle w:val="ListBullet"/>
      </w:pPr>
      <w:r>
        <w:t>duizeligheid;</w:t>
      </w:r>
    </w:p>
    <w:p>
      <w:pPr>
        <w:pStyle w:val="ListBullet"/>
      </w:pPr>
      <w:r>
        <w:t>vermoeidheid;</w:t>
      </w:r>
    </w:p>
    <w:p>
      <w:pPr>
        <w:pStyle w:val="ListBullet"/>
      </w:pPr>
      <w:r>
        <w:t>bewustzijnsverlies.</w:t>
      </w:r>
    </w:p>
    <w:p>
      <w:r>
        <w:t>Bij hogere blootstelling kan het bewustzijn snel dalen en kan iemand in coma raken of overlijden. Op de langere termijn kunnen neurologische complicaties ontstaan.</w:t>
      </w:r>
    </w:p>
    <w:p>
      <w:pPr>
        <w:pStyle w:val="Heading5"/>
      </w:pPr>
      <w:r>
        <w:t>Aandacht-vragetje</w:t>
      </w:r>
    </w:p>
    <w:p>
      <w:r>
        <w:rPr>
          <w:b/>
        </w:rPr>
        <w:t>Waarom staat koolstofmonoxide zo hoog in de differentiaaldiagnose?</w:t>
      </w:r>
      <w:r>
        <w:t xml:space="preserve">  </w:t>
        <w:br/>
        <w:t>Omdat de klachten vaag zijn, maar de context heel verdacht kan zijn. Dan moet je vooral denken aan wat direct gevaarlijk is.</w:t>
      </w:r>
    </w:p>
    <w:p>
      <w:pPr>
        <w:pStyle w:val="Heading4"/>
      </w:pPr>
      <w:r>
        <w:t>Welke diagnostiek en eerste behandeling horen erbij?</w:t>
      </w:r>
    </w:p>
    <w:p>
      <w:r>
        <w:t>Bij koolstofmonoxidevergiftiging zijn meerdere onderzoeken nuttig:</w:t>
      </w:r>
    </w:p>
    <w:p>
      <w:pPr>
        <w:pStyle w:val="ListBullet"/>
      </w:pPr>
      <w:r>
        <w:t>ECG bepalen;</w:t>
      </w:r>
    </w:p>
    <w:p>
      <w:pPr>
        <w:pStyle w:val="ListBullet"/>
      </w:pPr>
      <w:r>
        <w:t>HbCO bepalen;</w:t>
      </w:r>
    </w:p>
    <w:p>
      <w:pPr>
        <w:pStyle w:val="ListBullet"/>
      </w:pPr>
      <w:r>
        <w:t>troponine bepalen;</w:t>
      </w:r>
    </w:p>
    <w:p>
      <w:pPr>
        <w:pStyle w:val="ListBullet"/>
      </w:pPr>
      <w:r>
        <w:t>arterieel bloedgas bepalen.</w:t>
      </w:r>
    </w:p>
    <w:p>
      <w:r>
        <w:t>HbCO staat voor carboxyhemoglobine. Dit geeft een betrouwbare indruk van de blootstelling aan koolstofmonoxide. Een niet-invasieve HbCO-pulsmeter bestaat wel, maar die methode is nog onbetrouwbaar en wordt daarom niet aangeraden voor diagnostiek bij koolstofmonoxidevergiftigingen.</w:t>
      </w:r>
    </w:p>
    <w:p>
      <w:r>
        <w:t>Troponine en ECG zijn belangrijk om te beoordelen of er sprake is van hypoxie in het hartweefsel en om het hartritme in te schatten. Zo kun je ook de noodzaak voor cardiovasculaire behandeling beter inschatten.</w:t>
      </w:r>
    </w:p>
    <w:p>
      <w:r>
        <w:t>De eerste therapie is eenvoudig maar heel belangrijk:</w:t>
      </w:r>
    </w:p>
    <w:p>
      <w:pPr>
        <w:pStyle w:val="ListBullet"/>
      </w:pPr>
      <w:r>
        <w:t>de patiënt uit de besmette omgeving halen;</w:t>
      </w:r>
    </w:p>
    <w:p>
      <w:pPr>
        <w:pStyle w:val="ListBullet"/>
      </w:pPr>
      <w:r>
        <w:t>frisse lucht geven;</w:t>
      </w:r>
    </w:p>
    <w:p>
      <w:pPr>
        <w:pStyle w:val="ListBullet"/>
      </w:pPr>
      <w:r>
        <w:t>100% zuurstof toedienen;</w:t>
      </w:r>
    </w:p>
    <w:p>
      <w:pPr>
        <w:pStyle w:val="ListBullet"/>
      </w:pPr>
      <w:r>
        <w:t>bij ernstige intoxicaties beademen.</w:t>
      </w:r>
    </w:p>
    <w:p>
      <w:r>
        <w:t>Bij ernstige blootstelling versnelt zuurstoftherapie de eliminatie van koolstofmonoxide uit het bloed.</w:t>
      </w:r>
    </w:p>
    <w:p>
      <w:pPr>
        <w:pStyle w:val="Heading5"/>
      </w:pPr>
      <w:r>
        <w:t>Aandacht-vragetje</w:t>
      </w:r>
    </w:p>
    <w:p>
      <w:r>
        <w:rPr>
          <w:b/>
        </w:rPr>
        <w:t>Welke stap is het belangrijkst in de behandeling?</w:t>
      </w:r>
      <w:r>
        <w:t xml:space="preserve">  </w:t>
        <w:br/>
        <w:t>De patiënt direct uit de besmette omgeving halen, zodat de blootstelling stopt.</w:t>
      </w:r>
    </w:p>
    <w:p>
      <w:pPr>
        <w:pStyle w:val="Heading4"/>
      </w:pPr>
      <w:r>
        <w:t>De GAGS: incidenten met gevaarlijke stoffen</w:t>
      </w:r>
    </w:p>
    <w:p>
      <w:r>
        <w:t>De Gezondheidskundig Adviseur Gevaarlijke Stoffen, afgekort GAGS, is een operationele functie van de GGD’en. In Rotterdam-Rijnmond valt deze functie onder de veiligheidsregio. De GAGS komt in beeld bij incidenten waarbij vermoedelijk gevaarlijke stoffen betrokken zijn.</w:t>
      </w:r>
    </w:p>
    <w:p>
      <w:r>
        <w:t>Dat kunnen allerlei soorten incidenten zijn, bijvoorbeeld:</w:t>
      </w:r>
    </w:p>
    <w:p>
      <w:pPr>
        <w:pStyle w:val="ListBullet"/>
      </w:pPr>
      <w:r>
        <w:t>lekkages met gevaarlijke stoffen;</w:t>
      </w:r>
    </w:p>
    <w:p>
      <w:pPr>
        <w:pStyle w:val="ListBullet"/>
      </w:pPr>
      <w:r>
        <w:t>rook en roet bij branden;</w:t>
      </w:r>
    </w:p>
    <w:p>
      <w:pPr>
        <w:pStyle w:val="ListBullet"/>
      </w:pPr>
      <w:r>
        <w:t>asbest;</w:t>
      </w:r>
    </w:p>
    <w:p>
      <w:pPr>
        <w:pStyle w:val="ListBullet"/>
      </w:pPr>
      <w:r>
        <w:t>onwelwordingen met onbekende oorzaak;</w:t>
      </w:r>
    </w:p>
    <w:p>
      <w:pPr>
        <w:pStyle w:val="ListBullet"/>
      </w:pPr>
      <w:r>
        <w:t>terrorismegerelateerde incidenten waarbij gevaarlijke stoffen betrokken kunnen zijn;</w:t>
      </w:r>
    </w:p>
    <w:p>
      <w:pPr>
        <w:pStyle w:val="ListBullet"/>
      </w:pPr>
      <w:r>
        <w:t>rampen door radiologische of nucleaire stoffen;</w:t>
      </w:r>
    </w:p>
    <w:p>
      <w:pPr>
        <w:pStyle w:val="ListBullet"/>
      </w:pPr>
      <w:r>
        <w:t>biologische rampen;</w:t>
      </w:r>
    </w:p>
    <w:p>
      <w:pPr>
        <w:pStyle w:val="ListBullet"/>
      </w:pPr>
      <w:r>
        <w:t>chemische lekkages;</w:t>
      </w:r>
    </w:p>
    <w:p>
      <w:pPr>
        <w:pStyle w:val="ListBullet"/>
      </w:pPr>
      <w:r>
        <w:t>branden en explosies.</w:t>
      </w:r>
    </w:p>
    <w:p>
      <w:r>
        <w:t>De GAGS geeft informatie over de te verwachten gezondheidseffecten op korte en lange termijn. Ook adviseert deze functie over maatregelen om gezondheidsschade zoveel mogelijk te beperken. Denk aan:</w:t>
      </w:r>
    </w:p>
    <w:p>
      <w:pPr>
        <w:pStyle w:val="ListBullet"/>
      </w:pPr>
      <w:r>
        <w:t>schuilen;</w:t>
      </w:r>
    </w:p>
    <w:p>
      <w:pPr>
        <w:pStyle w:val="ListBullet"/>
      </w:pPr>
      <w:r>
        <w:t>evacueren;</w:t>
      </w:r>
    </w:p>
    <w:p>
      <w:pPr>
        <w:pStyle w:val="ListBullet"/>
      </w:pPr>
      <w:r>
        <w:t>ontmetten.</w:t>
      </w:r>
    </w:p>
    <w:p>
      <w:r>
        <w:t>Bij een groot chemisch incident komt het advies van de GAGS via de leidinggevende GHOR-functionaris terecht bij de besluitvormers in het operationeel team of het beleidsteam. Daarnaast adviseert de GAGS over de bescherming van hulpverleners en helpt mee met publieke voorlichting.</w:t>
      </w:r>
    </w:p>
    <w:p>
      <w:pPr>
        <w:pStyle w:val="Heading5"/>
      </w:pPr>
      <w:r>
        <w:t>Tabel 3. Waar let de GAGS op?</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Voorbeelden</w:t>
            </w:r>
          </w:p>
        </w:tc>
      </w:tr>
      <w:tr>
        <w:tc>
          <w:tcPr>
            <w:tcW w:type="dxa" w:w="4320"/>
          </w:tcPr>
          <w:p>
            <w:r>
              <w:t>Type incident</w:t>
            </w:r>
          </w:p>
        </w:tc>
        <w:tc>
          <w:tcPr>
            <w:tcW w:type="dxa" w:w="4320"/>
          </w:tcPr>
          <w:p>
            <w:r>
              <w:t>Chemische lekkage, brand, explosie, asbest, biologische of radiologische calamiteit</w:t>
            </w:r>
          </w:p>
        </w:tc>
      </w:tr>
      <w:tr>
        <w:tc>
          <w:tcPr>
            <w:tcW w:type="dxa" w:w="4320"/>
          </w:tcPr>
          <w:p>
            <w:r>
              <w:t>Gezondheidseffecten</w:t>
            </w:r>
          </w:p>
        </w:tc>
        <w:tc>
          <w:tcPr>
            <w:tcW w:type="dxa" w:w="4320"/>
          </w:tcPr>
          <w:p>
            <w:r>
              <w:t>Kortdurend en langdurig effect op de bevolking</w:t>
            </w:r>
          </w:p>
        </w:tc>
      </w:tr>
      <w:tr>
        <w:tc>
          <w:tcPr>
            <w:tcW w:type="dxa" w:w="4320"/>
          </w:tcPr>
          <w:p>
            <w:r>
              <w:t>Maatregelen</w:t>
            </w:r>
          </w:p>
        </w:tc>
        <w:tc>
          <w:tcPr>
            <w:tcW w:type="dxa" w:w="4320"/>
          </w:tcPr>
          <w:p>
            <w:r>
              <w:t>Schuilen, evacueren, ontmetten</w:t>
            </w:r>
          </w:p>
        </w:tc>
      </w:tr>
      <w:tr>
        <w:tc>
          <w:tcPr>
            <w:tcW w:type="dxa" w:w="4320"/>
          </w:tcPr>
          <w:p>
            <w:r>
              <w:t>Bescherming hulpverleners</w:t>
            </w:r>
          </w:p>
        </w:tc>
        <w:tc>
          <w:tcPr>
            <w:tcW w:type="dxa" w:w="4320"/>
          </w:tcPr>
          <w:p>
            <w:r>
              <w:t>Veilig werken, blootstelling beperken</w:t>
            </w:r>
          </w:p>
        </w:tc>
      </w:tr>
      <w:tr>
        <w:tc>
          <w:tcPr>
            <w:tcW w:type="dxa" w:w="4320"/>
          </w:tcPr>
          <w:p>
            <w:r>
              <w:t>Publieke informatie</w:t>
            </w:r>
          </w:p>
        </w:tc>
        <w:tc>
          <w:tcPr>
            <w:tcW w:type="dxa" w:w="4320"/>
          </w:tcPr>
          <w:p>
            <w:r>
              <w:t>Uitleg en voorlichting aan de bevolking</w:t>
            </w:r>
          </w:p>
        </w:tc>
      </w:tr>
    </w:tbl>
    <w:p>
      <w:pPr>
        <w:pStyle w:val="Heading4"/>
      </w:pPr>
      <w:r>
        <w:t>Welke eigenschappen van een stof zijn belangrijk?</w:t>
      </w:r>
    </w:p>
    <w:p>
      <w:r>
        <w:t>Bij een incident met een stof kijk je niet alleen naar de toxiciteit. Ook brandbaarheid en explosiviteit zijn belangrijk. Dat geldt bijvoorbeeld ook bij koolstofmonoxide. Je moet dus breder kijken dan alleen de directe vergiftigende werking.</w:t>
      </w:r>
    </w:p>
    <w:p>
      <w:pPr>
        <w:pStyle w:val="Heading4"/>
      </w:pPr>
      <w:r>
        <w:t>Waterstoffluoride: een incident voor de GAGS</w:t>
      </w:r>
    </w:p>
    <w:p>
      <w:r>
        <w:t>Bij een melding met waterstoffluoride moet je eerst weten in welke stofsvorm het kan voorkomen. Dat kan in:</w:t>
      </w:r>
    </w:p>
    <w:p>
      <w:pPr>
        <w:pStyle w:val="ListBullet"/>
      </w:pPr>
      <w:r>
        <w:t>vaste vorm;</w:t>
      </w:r>
    </w:p>
    <w:p>
      <w:pPr>
        <w:pStyle w:val="ListBullet"/>
      </w:pPr>
      <w:r>
        <w:t>vloeibare vorm;</w:t>
      </w:r>
    </w:p>
    <w:p>
      <w:pPr>
        <w:pStyle w:val="ListBullet"/>
      </w:pPr>
      <w:r>
        <w:t>gasvorm.</w:t>
      </w:r>
    </w:p>
    <w:p>
      <w:r>
        <w:t>Bij normale druk en kamertemperatuur is het gasvormig. Onder 19,51 °C is het een vloeistof. Onder -83,55 °C is het een vaste stof.</w:t>
      </w:r>
    </w:p>
    <w:p>
      <w:r>
        <w:t>In de praktijk is in zo’n incident vooral een vluchtige vloeistof of gasvorm waarschijnlijk. Dat heeft gevolgen voor de manier van blootstelling:</w:t>
      </w:r>
    </w:p>
    <w:p>
      <w:pPr>
        <w:pStyle w:val="ListBullet"/>
      </w:pPr>
      <w:r>
        <w:t>gasvormig: vooral inhalatie, blootstelling van slijmvliezen en dermale blootstelling;</w:t>
      </w:r>
    </w:p>
    <w:p>
      <w:pPr>
        <w:pStyle w:val="ListBullet"/>
      </w:pPr>
      <w:r>
        <w:t>vloeistofvorm: ingestie kan optreden en schade aan inwendige organen geven;</w:t>
      </w:r>
    </w:p>
    <w:p>
      <w:pPr>
        <w:pStyle w:val="ListBullet"/>
      </w:pPr>
      <w:r>
        <w:t>dermale blootstelling aan vloeibare waterstoffluoride kan ook systemische effecten geven.</w:t>
      </w:r>
    </w:p>
    <w:p>
      <w:pPr>
        <w:pStyle w:val="Heading4"/>
      </w:pPr>
      <w:r>
        <w:t>Klinisch beeld na blootstelling</w:t>
      </w:r>
    </w:p>
    <w:p>
      <w:r>
        <w:t>Waterstoffluoride, of fluorwaterstof, heeft een zeer lage pH van 0,8 tot 1. Daardoor kunnen de lokale effecten variëren van irritatie van slijmvliezen en huid tot ernstige etsing, necrose en perforatie van weefsel.</w:t>
      </w:r>
    </w:p>
    <w:p>
      <w:pPr>
        <w:pStyle w:val="Heading5"/>
      </w:pPr>
      <w:r>
        <w:t>Na ingestie</w:t>
      </w:r>
    </w:p>
    <w:p>
      <w:r>
        <w:t>Na ingestie kunnen de volgende klachten en complicaties optreden:</w:t>
      </w:r>
    </w:p>
    <w:p>
      <w:pPr>
        <w:pStyle w:val="ListBullet"/>
      </w:pPr>
      <w:r>
        <w:t>erytheem;</w:t>
      </w:r>
    </w:p>
    <w:p>
      <w:pPr>
        <w:pStyle w:val="ListBullet"/>
      </w:pPr>
      <w:r>
        <w:t>erosies;</w:t>
      </w:r>
    </w:p>
    <w:p>
      <w:pPr>
        <w:pStyle w:val="ListBullet"/>
      </w:pPr>
      <w:r>
        <w:t>ulcera of perforaties van slijmvliezen van mond, lippen, tong, keel, oesofagus, maag en duodenum;</w:t>
      </w:r>
    </w:p>
    <w:p>
      <w:pPr>
        <w:pStyle w:val="ListBullet"/>
      </w:pPr>
      <w:r>
        <w:t>zeer hevige pijn;</w:t>
      </w:r>
    </w:p>
    <w:p>
      <w:pPr>
        <w:pStyle w:val="ListBullet"/>
      </w:pPr>
      <w:r>
        <w:t>misselijkheid;</w:t>
      </w:r>
    </w:p>
    <w:p>
      <w:pPr>
        <w:pStyle w:val="ListBullet"/>
      </w:pPr>
      <w:r>
        <w:t>braken;</w:t>
      </w:r>
    </w:p>
    <w:p>
      <w:pPr>
        <w:pStyle w:val="ListBullet"/>
      </w:pPr>
      <w:r>
        <w:t>diarree;</w:t>
      </w:r>
    </w:p>
    <w:p>
      <w:pPr>
        <w:pStyle w:val="ListBullet"/>
      </w:pPr>
      <w:r>
        <w:t>bloedingen met hematemesis en melena;</w:t>
      </w:r>
    </w:p>
    <w:p>
      <w:pPr>
        <w:pStyle w:val="ListBullet"/>
      </w:pPr>
      <w:r>
        <w:t>mediastinitis en peritonitis bij perforaties;</w:t>
      </w:r>
    </w:p>
    <w:p>
      <w:pPr>
        <w:pStyle w:val="ListBullet"/>
      </w:pPr>
      <w:r>
        <w:t>littekenvorming met stenosen van vooral oesofagus en pylorus in de herstelfase;</w:t>
      </w:r>
    </w:p>
    <w:p>
      <w:pPr>
        <w:pStyle w:val="ListBullet"/>
      </w:pPr>
      <w:r>
        <w:t>glottis- en larynxoedeem met asfyxie;</w:t>
      </w:r>
    </w:p>
    <w:p>
      <w:pPr>
        <w:pStyle w:val="ListBullet"/>
      </w:pPr>
      <w:r>
        <w:t>chemische pneumonitis en interstitiële longafwijkingen bij aspiratie;</w:t>
      </w:r>
    </w:p>
    <w:p>
      <w:pPr>
        <w:pStyle w:val="ListBullet"/>
      </w:pPr>
      <w:r>
        <w:t>latere pulmonale complicaties door een oesofagotracheale fistel of stenose van larynx/trachea.</w:t>
      </w:r>
    </w:p>
    <w:p>
      <w:r>
        <w:t>Systemische effecten hangen af van de concentratie, de ingenomen hoeveelheid en het contactoppervlak.</w:t>
      </w:r>
    </w:p>
    <w:p>
      <w:r>
        <w:t>Ernstige hypocalciëmie kan binnen 2 tot 3 uur ontstaan. Hypocalciëmie kan zich uiten als:</w:t>
      </w:r>
    </w:p>
    <w:p>
      <w:pPr>
        <w:pStyle w:val="ListBullet"/>
      </w:pPr>
      <w:r>
        <w:t>sterke dorst;</w:t>
      </w:r>
    </w:p>
    <w:p>
      <w:pPr>
        <w:pStyle w:val="ListBullet"/>
      </w:pPr>
      <w:r>
        <w:t>zwakte;</w:t>
      </w:r>
    </w:p>
    <w:p>
      <w:pPr>
        <w:pStyle w:val="ListBullet"/>
      </w:pPr>
      <w:r>
        <w:t>paresthesieën;</w:t>
      </w:r>
    </w:p>
    <w:p>
      <w:pPr>
        <w:pStyle w:val="ListBullet"/>
      </w:pPr>
      <w:r>
        <w:t>spierkrampen;</w:t>
      </w:r>
    </w:p>
    <w:p>
      <w:pPr>
        <w:pStyle w:val="ListBullet"/>
      </w:pPr>
      <w:r>
        <w:t>tetanie;</w:t>
      </w:r>
    </w:p>
    <w:p>
      <w:pPr>
        <w:pStyle w:val="ListBullet"/>
      </w:pPr>
      <w:r>
        <w:t>spasmen, ook van larynx en bronchi;</w:t>
      </w:r>
    </w:p>
    <w:p>
      <w:pPr>
        <w:pStyle w:val="ListBullet"/>
      </w:pPr>
      <w:r>
        <w:t>tonisch-clonische convulsies;</w:t>
      </w:r>
    </w:p>
    <w:p>
      <w:pPr>
        <w:pStyle w:val="ListBullet"/>
      </w:pPr>
      <w:r>
        <w:t>tachycardie;</w:t>
      </w:r>
    </w:p>
    <w:p>
      <w:pPr>
        <w:pStyle w:val="ListBullet"/>
      </w:pPr>
      <w:r>
        <w:t>ritmestoornissen, zoals verlengd QT-interval en ventrikelfibrilleren;</w:t>
      </w:r>
    </w:p>
    <w:p>
      <w:pPr>
        <w:pStyle w:val="ListBullet"/>
      </w:pPr>
      <w:r>
        <w:t>hypotensie;</w:t>
      </w:r>
    </w:p>
    <w:p>
      <w:pPr>
        <w:pStyle w:val="ListBullet"/>
      </w:pPr>
      <w:r>
        <w:t>hallucinaties.</w:t>
      </w:r>
    </w:p>
    <w:p>
      <w:r>
        <w:t>Symptomen ontstaan in het algemeen bij een serumcalcium lager dan 1,8 mmol/L.</w:t>
      </w:r>
    </w:p>
    <w:p>
      <w:pPr>
        <w:pStyle w:val="Heading5"/>
      </w:pPr>
      <w:r>
        <w:t>Na inhalatie</w:t>
      </w:r>
    </w:p>
    <w:p>
      <w:r>
        <w:t>Bij inhalatie zie je vooral:</w:t>
      </w:r>
    </w:p>
    <w:p>
      <w:pPr>
        <w:pStyle w:val="ListBullet"/>
      </w:pPr>
      <w:r>
        <w:t>irritatie of etsing van slijmvliezen van neus en luchtwegen;</w:t>
      </w:r>
    </w:p>
    <w:p>
      <w:pPr>
        <w:pStyle w:val="ListBullet"/>
      </w:pPr>
      <w:r>
        <w:t>prikkelhoest;</w:t>
      </w:r>
    </w:p>
    <w:p>
      <w:pPr>
        <w:pStyle w:val="ListBullet"/>
      </w:pPr>
      <w:r>
        <w:t>productieve hoest;</w:t>
      </w:r>
    </w:p>
    <w:p>
      <w:pPr>
        <w:pStyle w:val="ListBullet"/>
      </w:pPr>
      <w:r>
        <w:t>retrosternale pijn;</w:t>
      </w:r>
    </w:p>
    <w:p>
      <w:pPr>
        <w:pStyle w:val="ListBullet"/>
      </w:pPr>
      <w:r>
        <w:t>tachypneu;</w:t>
      </w:r>
    </w:p>
    <w:p>
      <w:pPr>
        <w:pStyle w:val="ListBullet"/>
      </w:pPr>
      <w:r>
        <w:t>dyspneu;</w:t>
      </w:r>
    </w:p>
    <w:p>
      <w:pPr>
        <w:pStyle w:val="ListBullet"/>
      </w:pPr>
      <w:r>
        <w:t>bronchospasme;</w:t>
      </w:r>
    </w:p>
    <w:p>
      <w:pPr>
        <w:pStyle w:val="ListBullet"/>
      </w:pPr>
      <w:r>
        <w:t>stridor;</w:t>
      </w:r>
    </w:p>
    <w:p>
      <w:pPr>
        <w:pStyle w:val="ListBullet"/>
      </w:pPr>
      <w:r>
        <w:t>asfyxie door glottis- en larynxoedeem;</w:t>
      </w:r>
    </w:p>
    <w:p>
      <w:pPr>
        <w:pStyle w:val="ListBullet"/>
      </w:pPr>
      <w:r>
        <w:t>chemische pneumonitis.</w:t>
      </w:r>
    </w:p>
    <w:p>
      <w:r>
        <w:t>Longoedeem kan pas na een latente periode van enkele uren tot 12 uur ontstaan. Als het bloedgas en de thoraxfoto na 12 uur nog normaal zijn, is ARDS minder waarschijnlijk.</w:t>
      </w:r>
    </w:p>
    <w:p>
      <w:r>
        <w:rPr>
          <w:b/>
        </w:rPr>
        <w:t>Hoe zit het met de concentratie?</w:t>
      </w:r>
      <w:r>
        <w:t xml:space="preserve">  </w:t>
        <w:br/>
        <w:t>Ja, ook die maakt uit. Bij concentraties tot 20% kunnen symptomen vertraagd optreden, soms tot wel 24 uur. Boven de 50% zijn directe pijn en necrose te verwachten.</w:t>
      </w:r>
    </w:p>
    <w:p>
      <w:pPr>
        <w:pStyle w:val="Heading4"/>
      </w:pPr>
      <w:r>
        <w:t>Antidotum en behandeling</w:t>
      </w:r>
    </w:p>
    <w:p>
      <w:r>
        <w:t>Tegen waterstoffluoride bestaat calciumgluconaat in verschillende vormen. Dat is belangrijk, omdat fluoride bindt aan vrij calcium. Daardoor kan hypocalciëmie ontstaan.</w:t>
      </w:r>
    </w:p>
    <w:p>
      <w:r>
        <w:t>De behandeling hangt af van de blootstellingsroute:</w:t>
      </w:r>
    </w:p>
    <w:p>
      <w:pPr>
        <w:pStyle w:val="Heading5"/>
      </w:pPr>
      <w:r>
        <w:t>Tabel 4. Behandeling bij waterstoffluoride</w:t>
      </w:r>
    </w:p>
    <w:tbl>
      <w:tblPr>
        <w:tblStyle w:val="TableGrid"/>
        <w:tblW w:type="auto" w:w="0"/>
        <w:tblLook w:firstColumn="1" w:firstRow="1" w:lastColumn="0" w:lastRow="0" w:noHBand="0" w:noVBand="1" w:val="04A0"/>
      </w:tblPr>
      <w:tblGrid>
        <w:gridCol w:w="4320"/>
        <w:gridCol w:w="4320"/>
      </w:tblGrid>
      <w:tr>
        <w:tc>
          <w:tcPr>
            <w:tcW w:type="dxa" w:w="4320"/>
          </w:tcPr>
          <w:p>
            <w:r>
              <w:t>Blootstellingsroute</w:t>
            </w:r>
          </w:p>
        </w:tc>
        <w:tc>
          <w:tcPr>
            <w:tcW w:type="dxa" w:w="4320"/>
          </w:tcPr>
          <w:p>
            <w:r>
              <w:t>Behandeling</w:t>
            </w:r>
          </w:p>
        </w:tc>
      </w:tr>
      <w:tr>
        <w:tc>
          <w:tcPr>
            <w:tcW w:type="dxa" w:w="4320"/>
          </w:tcPr>
          <w:p>
            <w:r>
              <w:t>Inhalatie</w:t>
            </w:r>
          </w:p>
        </w:tc>
        <w:tc>
          <w:tcPr>
            <w:tcW w:type="dxa" w:w="4320"/>
          </w:tcPr>
          <w:p>
            <w:r>
              <w:t>Vernevelen met calciumgluconaat, 4 ml calciumgluconaatoplossing 2,5%; daarnaast symptomatische behandeling</w:t>
            </w:r>
          </w:p>
        </w:tc>
      </w:tr>
      <w:tr>
        <w:tc>
          <w:tcPr>
            <w:tcW w:type="dxa" w:w="4320"/>
          </w:tcPr>
          <w:p>
            <w:r>
              <w:t>Ingestie</w:t>
            </w:r>
          </w:p>
        </w:tc>
        <w:tc>
          <w:tcPr>
            <w:tcW w:type="dxa" w:w="4320"/>
          </w:tcPr>
          <w:p>
            <w:r>
              <w:t>Melk laten drinken om Ca2+-ionen te herstellen; andere calciumoplossingen kunnen ook worden gegeven, zoals calciumgluconaat, of calciumcarbonaat om te kauwen</w:t>
            </w:r>
          </w:p>
        </w:tc>
      </w:tr>
      <w:tr>
        <w:tc>
          <w:tcPr>
            <w:tcW w:type="dxa" w:w="4320"/>
          </w:tcPr>
          <w:p>
            <w:r>
              <w:t>Dermale blootstelling</w:t>
            </w:r>
          </w:p>
        </w:tc>
        <w:tc>
          <w:tcPr>
            <w:tcW w:type="dxa" w:w="4320"/>
          </w:tcPr>
          <w:p>
            <w:r>
              <w:t>Besmette kleding verwijderen, huid spoelen met water, blootgestelde huid behandelen met calciumgluconaatgel</w:t>
            </w:r>
          </w:p>
        </w:tc>
      </w:tr>
    </w:tbl>
    <w:p>
      <w:r>
        <w:t>Bij verdunde waterstoffluoride blijft een groot deel ongedissocieerd. Daardoor kan het gemakkelijk door lipofiel weefsel heen dringen en diep subcutaan weefsel bereiken. Daar vormt het onoplosbare zouten met weefselkationen, vooral met calcium. Zo wordt het vrije calcium gebonden en ontstaat hypocalciëmie.</w:t>
      </w:r>
    </w:p>
    <w:p>
      <w:pPr>
        <w:pStyle w:val="Heading5"/>
      </w:pPr>
      <w:r>
        <w:t>Aandacht-vragetje</w:t>
      </w:r>
    </w:p>
    <w:p>
      <w:r>
        <w:rPr>
          <w:b/>
        </w:rPr>
        <w:t>Waarom is calciumgluconaat zo belangrijk?</w:t>
      </w:r>
      <w:r>
        <w:t xml:space="preserve">  </w:t>
        <w:br/>
        <w:t>Omdat fluoride calcium bindt en daardoor schade en hypocalciëmie veroorzaakt. Calciumgluconaat helpt dit tegen te gaan.</w:t>
      </w:r>
    </w:p>
    <w:p>
      <w:pPr>
        <w:pStyle w:val="Heading4"/>
      </w:pPr>
      <w:r>
        <w:t>Samenvatting</w:t>
      </w:r>
    </w:p>
    <w:p>
      <w:r>
        <w:t>Het NVIC is het landelijke toxicologische adviescentrum en de belangrijkste databank voor gevaarlijke stoffen. Bij intoxicaties helpt het je om snel de juiste stof, symptomen, diagnostiek en behandeling te vinden. De GAGS wordt ingezet bij incidenten met gevaarlijke stoffen, zoals chemische lekkages, branden, asbest of CBRN-incidenten. Bij koolstofmonoxidevergiftiging zijn klachten vaak aspecifiek, waardoor de context heel belangrijk is. Bij waterstoffluoride zijn zowel de blootstellingsroute als de stofsvorm bepalend voor het klinische beeld en de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