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left"/>
      </w:pPr>
      <w:r>
        <w:t>LME 56 – Celtherapie als behandeling voor maligniteiten</w:t>
      </w:r>
    </w:p>
    <w:p>
      <w:pPr>
        <w:pStyle w:val="Heading4"/>
      </w:pPr>
      <w:r>
        <w:t>Leerdoelen</w:t>
      </w:r>
    </w:p>
    <w:p>
      <w:r>
        <w:t>Na het doornemen van deze stof kun je:</w:t>
      </w:r>
    </w:p>
    <w:p>
      <w:pPr>
        <w:pStyle w:val="ListBullet"/>
      </w:pPr>
      <w:r>
        <w:t>de werkingsmechanismen van autologe en allogene stamceltransplantatie, en van CAR-T-celtherapie, beschrijven bij de behandeling van verschillende maligne hematologische ziekten zoals leukemie, myeloom en lymfoom;</w:t>
      </w:r>
    </w:p>
    <w:p>
      <w:pPr>
        <w:pStyle w:val="ListBullet"/>
      </w:pPr>
      <w:r>
        <w:t>de voor- en nadelen, inclusief bijwerkingen, van deze therapieën benoemen;</w:t>
      </w:r>
    </w:p>
    <w:p>
      <w:pPr>
        <w:pStyle w:val="ListBullet"/>
      </w:pPr>
      <w:r>
        <w:t>uitleggen hoe een afweging tussen deze celtherapieën gemaakt kan worden.</w:t>
      </w:r>
    </w:p>
    <w:p>
      <w:r>
        <w:t>---</w:t>
      </w:r>
    </w:p>
    <w:p>
      <w:pPr>
        <w:pStyle w:val="Heading4"/>
      </w:pPr>
      <w:r>
        <w:t>Hematopoëtische stamceltransplantatie in het kort</w:t>
      </w:r>
    </w:p>
    <w:p>
      <w:r>
        <w:t>Hematopoëtische stamceltransplantatie (HSCT) betekent dat bloedvormende stamcellen via een infuus worden toegediend aan een patiënt die vooraf radio- en/of chemotherapie heeft gekregen. Het doel van deze behandeling verschilt per type transplantatie.</w:t>
      </w:r>
    </w:p>
    <w:p>
      <w:r>
        <w:t>Er zijn twee hoofdvormen:</w:t>
      </w:r>
    </w:p>
    <w:p>
      <w:pPr>
        <w:pStyle w:val="ListBullet"/>
      </w:pPr>
      <w:r>
        <w:rPr>
          <w:b/>
        </w:rPr>
        <w:t>autologe HSCT</w:t>
      </w:r>
      <w:r>
        <w:t>: de stamcellen komen van de patiënt zelf;</w:t>
      </w:r>
    </w:p>
    <w:p>
      <w:pPr>
        <w:pStyle w:val="ListBullet"/>
      </w:pPr>
      <w:r>
        <w:rPr>
          <w:b/>
        </w:rPr>
        <w:t>allogene HSCT</w:t>
      </w:r>
      <w:r>
        <w:t>: de stamcellen komen van een donor.</w:t>
      </w:r>
    </w:p>
    <w:p>
      <w:r>
        <w:t xml:space="preserve">Vroeger werd vooral beenmerg gebruikt als stamcelbron. Tegenwoordig worden stamcellen meestal uit het perifere bloed verzameld na mobilisatie met een groeifactor. De stamcellen worden dan uit het bloed gefilterd via </w:t>
      </w:r>
      <w:r>
        <w:rPr>
          <w:b/>
        </w:rPr>
        <w:t>leukaferese</w:t>
      </w:r>
      <w:r>
        <w:t>. Bij beenmergafname gebeurt dit via herhaalde puncties uit het bekken, meestal onder narcose.</w:t>
      </w:r>
    </w:p>
    <w:p>
      <w:pPr>
        <w:pStyle w:val="Heading5"/>
      </w:pPr>
      <w:r>
        <w:t>Tabel 1. Autologe en allogene HSCT naast elkaar</w:t>
      </w:r>
    </w:p>
    <w:tbl>
      <w:tblPr>
        <w:tblStyle w:val="TableGrid"/>
        <w:tblW w:type="auto" w:w="0"/>
        <w:tblLook w:firstColumn="1" w:firstRow="1" w:lastColumn="0" w:lastRow="0" w:noHBand="0" w:noVBand="1" w:val="04A0"/>
      </w:tblPr>
      <w:tblGrid>
        <w:gridCol w:w="2880"/>
        <w:gridCol w:w="2880"/>
        <w:gridCol w:w="2880"/>
      </w:tblGrid>
      <w:tr>
        <w:tc>
          <w:tcPr>
            <w:tcW w:type="dxa" w:w="2880"/>
          </w:tcPr>
          <w:p>
            <w:r>
              <w:t>Kenmerk</w:t>
            </w:r>
          </w:p>
        </w:tc>
        <w:tc>
          <w:tcPr>
            <w:tcW w:type="dxa" w:w="2880"/>
          </w:tcPr>
          <w:p>
            <w:r>
              <w:t>Autologe HSCT</w:t>
            </w:r>
          </w:p>
        </w:tc>
        <w:tc>
          <w:tcPr>
            <w:tcW w:type="dxa" w:w="2880"/>
          </w:tcPr>
          <w:p>
            <w:r>
              <w:t>Allogene HSCT</w:t>
            </w:r>
          </w:p>
        </w:tc>
      </w:tr>
      <w:tr>
        <w:tc>
          <w:tcPr>
            <w:tcW w:type="dxa" w:w="2880"/>
          </w:tcPr>
          <w:p>
            <w:r>
              <w:t>Herkomst stamcellen</w:t>
            </w:r>
          </w:p>
        </w:tc>
        <w:tc>
          <w:tcPr>
            <w:tcW w:type="dxa" w:w="2880"/>
          </w:tcPr>
          <w:p>
            <w:r>
              <w:t>Patiënt zelf</w:t>
            </w:r>
          </w:p>
        </w:tc>
        <w:tc>
          <w:tcPr>
            <w:tcW w:type="dxa" w:w="2880"/>
          </w:tcPr>
          <w:p>
            <w:r>
              <w:t>Donor</w:t>
            </w:r>
          </w:p>
        </w:tc>
      </w:tr>
      <w:tr>
        <w:tc>
          <w:tcPr>
            <w:tcW w:type="dxa" w:w="2880"/>
          </w:tcPr>
          <w:p>
            <w:r>
              <w:t>Afstotingsreacties</w:t>
            </w:r>
          </w:p>
        </w:tc>
        <w:tc>
          <w:tcPr>
            <w:tcW w:type="dxa" w:w="2880"/>
          </w:tcPr>
          <w:p>
            <w:r>
              <w:t>Geen</w:t>
            </w:r>
          </w:p>
        </w:tc>
        <w:tc>
          <w:tcPr>
            <w:tcW w:type="dxa" w:w="2880"/>
          </w:tcPr>
          <w:p>
            <w:r>
              <w:t>Wel mogelijk</w:t>
            </w:r>
          </w:p>
        </w:tc>
      </w:tr>
      <w:tr>
        <w:tc>
          <w:tcPr>
            <w:tcW w:type="dxa" w:w="2880"/>
          </w:tcPr>
          <w:p>
            <w:r>
              <w:t>Graft-versus-hostziekte (GVHD)</w:t>
            </w:r>
          </w:p>
        </w:tc>
        <w:tc>
          <w:tcPr>
            <w:tcW w:type="dxa" w:w="2880"/>
          </w:tcPr>
          <w:p>
            <w:r>
              <w:t>Nee</w:t>
            </w:r>
          </w:p>
        </w:tc>
        <w:tc>
          <w:tcPr>
            <w:tcW w:type="dxa" w:w="2880"/>
          </w:tcPr>
          <w:p>
            <w:r>
              <w:t>Ja</w:t>
            </w:r>
          </w:p>
        </w:tc>
      </w:tr>
      <w:tr>
        <w:tc>
          <w:tcPr>
            <w:tcW w:type="dxa" w:w="2880"/>
          </w:tcPr>
          <w:p>
            <w:r>
              <w:t>Doel</w:t>
            </w:r>
          </w:p>
        </w:tc>
        <w:tc>
          <w:tcPr>
            <w:tcW w:type="dxa" w:w="2880"/>
          </w:tcPr>
          <w:p>
            <w:r>
              <w:t>Herstel van bloedcelvorming na hoge dosis therapie</w:t>
            </w:r>
          </w:p>
        </w:tc>
        <w:tc>
          <w:tcPr>
            <w:tcW w:type="dxa" w:w="2880"/>
          </w:tcPr>
          <w:p>
            <w:r>
              <w:t>Immuuntherapie en herstel van bloedcelvorming</w:t>
            </w:r>
          </w:p>
        </w:tc>
      </w:tr>
      <w:tr>
        <w:tc>
          <w:tcPr>
            <w:tcW w:type="dxa" w:w="2880"/>
          </w:tcPr>
          <w:p>
            <w:r>
              <w:t>Belangrijkste indicatie</w:t>
            </w:r>
          </w:p>
        </w:tc>
        <w:tc>
          <w:tcPr>
            <w:tcW w:type="dxa" w:w="2880"/>
          </w:tcPr>
          <w:p>
            <w:r>
              <w:t>Multipel myeloom</w:t>
            </w:r>
          </w:p>
        </w:tc>
        <w:tc>
          <w:tcPr>
            <w:tcW w:type="dxa" w:w="2880"/>
          </w:tcPr>
          <w:p>
            <w:r>
              <w:t>Acute myeloïde leukemie (AML) en acute lymfatische leukemie (ALL)</w:t>
            </w:r>
          </w:p>
        </w:tc>
      </w:tr>
      <w:tr>
        <w:tc>
          <w:tcPr>
            <w:tcW w:type="dxa" w:w="2880"/>
          </w:tcPr>
          <w:p>
            <w:r>
              <w:t>Conditioning</w:t>
            </w:r>
          </w:p>
        </w:tc>
        <w:tc>
          <w:tcPr>
            <w:tcW w:type="dxa" w:w="2880"/>
          </w:tcPr>
          <w:p>
            <w:r>
              <w:t>Myeloablatief</w:t>
            </w:r>
          </w:p>
        </w:tc>
        <w:tc>
          <w:tcPr>
            <w:tcW w:type="dxa" w:w="2880"/>
          </w:tcPr>
          <w:p>
            <w:r>
              <w:t>Myeloablatief of niet-myeloablatief</w:t>
            </w:r>
          </w:p>
        </w:tc>
      </w:tr>
    </w:tbl>
    <w:p>
      <w:r>
        <w:rPr>
          <w:b/>
        </w:rPr>
        <w:t>Aandacht:</w:t>
      </w:r>
      <w:r>
        <w:t xml:space="preserve"> waarom is dit onderscheid zo belangrijk?  </w:t>
        <w:br/>
      </w:r>
      <w:r>
        <w:rPr>
          <w:b/>
        </w:rPr>
        <w:t>Mini-antwoord:</w:t>
      </w:r>
      <w:r>
        <w:t xml:space="preserve"> omdat bij autologe HSCT geen afstotingsreacties optreden, terwijl bij allogene HSCT juist wel afstoting en GVHD kunnen ontstaan.</w:t>
      </w:r>
    </w:p>
    <w:p>
      <w:r>
        <w:t>---</w:t>
      </w:r>
    </w:p>
    <w:p>
      <w:pPr>
        <w:pStyle w:val="Heading4"/>
      </w:pPr>
      <w:r>
        <w:t>Autologe stamceltransplantatie</w:t>
      </w:r>
    </w:p>
    <w:p>
      <w:r>
        <w:t>Bij autologe HSCT is het uitgangspunt dat de patiënt eerst heel intensief behandeld kan worden met chemotherapie, al dan niet gecombineerd met radiotherapie. Die hoge dosis behandeling heeft als doel de onderliggende aandoening zo ver mogelijk terug te dringen of zelfs te genezen. Het nadeel is dat het beenmerg daarbij ernstig beschadigd raakt. Daardoor kan de bloedcelvorming tijdelijk niet meer vanzelf herstellen.</w:t>
      </w:r>
    </w:p>
    <w:p>
      <w:r>
        <w:t>Om dat op te vangen, worden vóór de hoge dosis therapie stamcellen van de patiënt verzameld. Deze cellen worden ingevroren, dus gecryopreserveerd, en later na ontdooien teruggegeven.</w:t>
      </w:r>
    </w:p>
    <w:p>
      <w:r>
        <w:t xml:space="preserve">De voorbehandeling bestaat meestal uit gewone chemotherapie, ook wel inductietherapie genoemd. Daarna worden met groeifactoren stamcellen gemobiliseerd naar het perifere bloed en verzameld via aferese. Als er voldoende stamcellen zijn verzameld en de ziekte goed genoeg heeft gereageerd, volgt opname voor de hoge dosis therapie, vaak </w:t>
      </w:r>
      <w:r>
        <w:rPr>
          <w:b/>
        </w:rPr>
        <w:t>myeloablatieve conditionering</w:t>
      </w:r>
      <w:r>
        <w:t>, waarna de autologe HSCT wordt gegeven.</w:t>
      </w:r>
    </w:p>
    <w:p>
      <w:pPr>
        <w:pStyle w:val="Heading5"/>
      </w:pPr>
      <w:r>
        <w:t>Indicaties voor autologe HSCT</w:t>
      </w:r>
    </w:p>
    <w:p>
      <w:r>
        <w:t xml:space="preserve">De belangrijkste indicatie is </w:t>
      </w:r>
      <w:r>
        <w:rPr>
          <w:b/>
        </w:rPr>
        <w:t>multipel myeloom</w:t>
      </w:r>
      <w:r>
        <w:t xml:space="preserve">. Daarvoor is de standaardbehandeling bij patiënten tot ongeveer 70 jaar, of bij fitte ouderen boven 70 jaar, inductiechemotherapie gevolgd door hoge dosis chemotherapie en autologe HSCT. Daarnaast staat </w:t>
      </w:r>
      <w:r>
        <w:rPr>
          <w:b/>
        </w:rPr>
        <w:t>agressief non-Hodgkinlymfoom</w:t>
      </w:r>
      <w:r>
        <w:t xml:space="preserve"> op de tweede plaats.</w:t>
      </w:r>
    </w:p>
    <w:p>
      <w:r>
        <w:t>Ook niet-hematologische maligniteiten kunnen soms met autologe HSCT worden behandeld, zoals testiscarcinoom en mammacarcinoom. Verder wordt autologe HSCT ook genoemd bij niet-maligne aandoeningen, bijvoorbeeld multipele sclerose.</w:t>
      </w:r>
    </w:p>
    <w:p>
      <w:pPr>
        <w:pStyle w:val="Heading5"/>
      </w:pPr>
      <w:r>
        <w:t>Voor- en nadelen van autologe HSCT</w:t>
      </w:r>
    </w:p>
    <w:p>
      <w:r>
        <w:t>Een autologe transplantatie is minder belastend voor de donor, omdat de patiënt zelf donor is. Er is geen afstotingsreactie. Bovendien bevat het transplantaat vaak meer stamcellen, waardoor de bloedcelvorming sneller en beter kan herstellen.</w:t>
      </w:r>
    </w:p>
    <w:p>
      <w:r>
        <w:t>Het nadeel is dat de behandeling nog steeds gepaard gaat met ernstige beenmergschade door de hoge dosis therapie. De patiënt moet dus goed voorbereid en zorgvuldig gescreend worden. Ook kan de behandeling zelf veel bijwerkingen geven. De kans om te overlijden aan transplantatiecomplicaties is klein, maar niet nul.</w:t>
      </w:r>
    </w:p>
    <w:p>
      <w:pPr>
        <w:pStyle w:val="Heading5"/>
      </w:pPr>
      <w:r>
        <w:t>Complicaties bij autologe HSCT</w:t>
      </w:r>
    </w:p>
    <w:p>
      <w:r>
        <w:t xml:space="preserve">Bij de infusie kunnen klachten ontstaan door </w:t>
      </w:r>
      <w:r>
        <w:rPr>
          <w:b/>
        </w:rPr>
        <w:t>DMSO</w:t>
      </w:r>
      <w:r>
        <w:t xml:space="preserve"> (dimethylsulfoxide), een conserveringsmiddel dat aan ingevroren cellen wordt toegevoegd. DMSO voorkomt ijskristalvorming. Het wordt niet weggewassen vóór teruggave van het transplantaat. Klachten kunnen zijn:</w:t>
      </w:r>
    </w:p>
    <w:p>
      <w:pPr>
        <w:pStyle w:val="ListBullet"/>
      </w:pPr>
      <w:r>
        <w:t>malaise;</w:t>
      </w:r>
    </w:p>
    <w:p>
      <w:pPr>
        <w:pStyle w:val="ListBullet"/>
      </w:pPr>
      <w:r>
        <w:t>temperatuursverhoging;</w:t>
      </w:r>
    </w:p>
    <w:p>
      <w:pPr>
        <w:pStyle w:val="ListBullet"/>
      </w:pPr>
      <w:r>
        <w:t>rillingen;</w:t>
      </w:r>
    </w:p>
    <w:p>
      <w:pPr>
        <w:pStyle w:val="ListBullet"/>
      </w:pPr>
      <w:r>
        <w:t>misselijkheid.</w:t>
      </w:r>
    </w:p>
    <w:p>
      <w:r>
        <w:t>Zelden treedt een ernstige allergische reactie op. Het middel wordt daarna uitgescheiden via de longen, urine, ontlasting en huid.</w:t>
      </w:r>
    </w:p>
    <w:p>
      <w:r>
        <w:t>De hoge dosis chemotherapie kan daarnaast leiden tot:</w:t>
      </w:r>
    </w:p>
    <w:p>
      <w:pPr>
        <w:pStyle w:val="ListBullet"/>
      </w:pPr>
      <w:r>
        <w:t>tijdelijke diepe pancytopenie gedurende 1–3 weken;</w:t>
      </w:r>
    </w:p>
    <w:p>
      <w:pPr>
        <w:pStyle w:val="ListBullet"/>
      </w:pPr>
      <w:r>
        <w:t>infecties;</w:t>
      </w:r>
    </w:p>
    <w:p>
      <w:pPr>
        <w:pStyle w:val="ListBullet"/>
      </w:pPr>
      <w:r>
        <w:t>mucositis van mond en maag-darmkanaal;</w:t>
      </w:r>
    </w:p>
    <w:p>
      <w:pPr>
        <w:pStyle w:val="ListBullet"/>
      </w:pPr>
      <w:r>
        <w:t>alopecia;</w:t>
      </w:r>
    </w:p>
    <w:p>
      <w:pPr>
        <w:pStyle w:val="ListBullet"/>
      </w:pPr>
      <w:r>
        <w:t>misselijkheid, braken en verminderde inname;</w:t>
      </w:r>
    </w:p>
    <w:p>
      <w:pPr>
        <w:pStyle w:val="ListBullet"/>
      </w:pPr>
      <w:r>
        <w:t>infertiliteit;</w:t>
      </w:r>
    </w:p>
    <w:p>
      <w:pPr>
        <w:pStyle w:val="ListBullet"/>
      </w:pPr>
      <w:r>
        <w:t>op lange termijn secundaire leukemie of myelodysplasie.</w:t>
      </w:r>
    </w:p>
    <w:p>
      <w:r>
        <w:rPr>
          <w:b/>
        </w:rPr>
        <w:t>Aandacht:</w:t>
      </w:r>
      <w:r>
        <w:t xml:space="preserve"> wat is het doel van de autologe transplantatie?  </w:t>
        <w:br/>
      </w:r>
      <w:r>
        <w:rPr>
          <w:b/>
        </w:rPr>
        <w:t>Mini-antwoord:</w:t>
      </w:r>
      <w:r>
        <w:t xml:space="preserve"> herstel van de bloedcelvorming na hoge dosis chemotherapie, zodat de behandeling intensief kan zijn zonder dat het beenmerg blijvend uitvalt.</w:t>
      </w:r>
    </w:p>
    <w:p>
      <w:r>
        <w:t>---</w:t>
      </w:r>
    </w:p>
    <w:p>
      <w:pPr>
        <w:pStyle w:val="Heading4"/>
      </w:pPr>
      <w:r>
        <w:t>Allogene stamceltransplantatie</w:t>
      </w:r>
    </w:p>
    <w:p>
      <w:r>
        <w:t>Bij allogene HSCT worden bloedvormende stamcellen van een donor toegediend aan een patiënt, na voorafgaande chemotherapie en/of radiotherapie. De donorstamcellen zorgen voor herstel van de bloedcelvorming na de transplantatie. Belangrijk is dat het transplantaat niet alleen stamcellen bevat, maar ook immuuncompetente cellen, vooral T-cellen.</w:t>
      </w:r>
    </w:p>
    <w:p>
      <w:r>
        <w:t>Deze donor-T-cellen kunnen twee kanten op werken:</w:t>
      </w:r>
    </w:p>
    <w:p>
      <w:pPr>
        <w:pStyle w:val="ListNumber"/>
      </w:pPr>
      <w:r>
        <w:t xml:space="preserve">ze herkennen resterende tumorcellen als vreemd en geven een </w:t>
      </w:r>
      <w:r>
        <w:rPr>
          <w:b/>
        </w:rPr>
        <w:t>graft-versus-tumor</w:t>
      </w:r>
      <w:r>
        <w:t xml:space="preserve"> of </w:t>
      </w:r>
      <w:r>
        <w:rPr>
          <w:b/>
        </w:rPr>
        <w:t>graft-versus-leukemie</w:t>
      </w:r>
      <w:r>
        <w:t xml:space="preserve"> effect;</w:t>
      </w:r>
    </w:p>
    <w:p>
      <w:pPr>
        <w:pStyle w:val="ListNumber"/>
      </w:pPr>
      <w:r>
        <w:t xml:space="preserve">ze kunnen ook gezond weefsel van de patiënt als vreemd herkennen en dan </w:t>
      </w:r>
      <w:r>
        <w:rPr>
          <w:b/>
        </w:rPr>
        <w:t>graft-versus-hostziekte (GVHD)</w:t>
      </w:r>
      <w:r>
        <w:t xml:space="preserve"> veroorzaken.</w:t>
      </w:r>
    </w:p>
    <w:p>
      <w:r>
        <w:t>Allogene HSCT is daardoor een vorm van immuuntherapie.</w:t>
      </w:r>
    </w:p>
    <w:p>
      <w:pPr>
        <w:pStyle w:val="Heading5"/>
      </w:pPr>
      <w:r>
        <w:t>Indicaties voor allogene HSCT</w:t>
      </w:r>
    </w:p>
    <w:p>
      <w:r>
        <w:t>Belangrijke indicaties zijn:</w:t>
      </w:r>
    </w:p>
    <w:p>
      <w:pPr>
        <w:pStyle w:val="ListBullet"/>
      </w:pPr>
      <w:r>
        <w:t xml:space="preserve">hematologische maligniteiten, vooral </w:t>
      </w:r>
      <w:r>
        <w:rPr>
          <w:b/>
        </w:rPr>
        <w:t>AML</w:t>
      </w:r>
      <w:r>
        <w:t xml:space="preserve"> en </w:t>
      </w:r>
      <w:r>
        <w:rPr>
          <w:b/>
        </w:rPr>
        <w:t>ALL</w:t>
      </w:r>
      <w:r>
        <w:t>;</w:t>
      </w:r>
    </w:p>
    <w:p>
      <w:pPr>
        <w:pStyle w:val="ListBullet"/>
      </w:pPr>
      <w:r>
        <w:t>stamcelziekten zoals aplastische anemie;</w:t>
      </w:r>
    </w:p>
    <w:p>
      <w:pPr>
        <w:pStyle w:val="ListBullet"/>
      </w:pPr>
      <w:r>
        <w:t xml:space="preserve">erfelijke aangeboren afwijkingen van het immuunsysteem, zoals </w:t>
      </w:r>
      <w:r>
        <w:rPr>
          <w:b/>
        </w:rPr>
        <w:t>SCID</w:t>
      </w:r>
      <w:r>
        <w:t>;</w:t>
      </w:r>
    </w:p>
    <w:p>
      <w:pPr>
        <w:pStyle w:val="ListBullet"/>
      </w:pPr>
      <w:r>
        <w:t>hemoglobinopathieën, zoals thalassemie en sikkelcelanemie;</w:t>
      </w:r>
    </w:p>
    <w:p>
      <w:pPr>
        <w:pStyle w:val="ListBullet"/>
      </w:pPr>
      <w:r>
        <w:t>overige aandoeningen, zoals lysosomale stapelingsziekten.</w:t>
      </w:r>
    </w:p>
    <w:p>
      <w:r>
        <w:t xml:space="preserve">Wanneer een passende HLA-gematchte verwante donor niet beschikbaar is, kunnen alternatieve stamcelbronnen worden gebruikt, zoals </w:t>
      </w:r>
      <w:r>
        <w:rPr>
          <w:b/>
        </w:rPr>
        <w:t>navelstrengbloed</w:t>
      </w:r>
      <w:r>
        <w:t xml:space="preserve"> of een </w:t>
      </w:r>
      <w:r>
        <w:rPr>
          <w:b/>
        </w:rPr>
        <w:t>haplo-identieke donor</w:t>
      </w:r>
      <w:r>
        <w:t>.</w:t>
      </w:r>
    </w:p>
    <w:p>
      <w:pPr>
        <w:pStyle w:val="Heading5"/>
      </w:pPr>
      <w:r>
        <w:t>Tabel 2. Belangrijke kenmerken van allogene HSCT</w:t>
      </w:r>
    </w:p>
    <w:tbl>
      <w:tblPr>
        <w:tblStyle w:val="TableGrid"/>
        <w:tblW w:type="auto" w:w="0"/>
        <w:tblLook w:firstColumn="1" w:firstRow="1" w:lastColumn="0" w:lastRow="0" w:noHBand="0" w:noVBand="1" w:val="04A0"/>
      </w:tblPr>
      <w:tblGrid>
        <w:gridCol w:w="4320"/>
        <w:gridCol w:w="4320"/>
      </w:tblGrid>
      <w:tr>
        <w:tc>
          <w:tcPr>
            <w:tcW w:type="dxa" w:w="4320"/>
          </w:tcPr>
          <w:p>
            <w:r>
              <w:t>Onderwerp</w:t>
            </w:r>
          </w:p>
        </w:tc>
        <w:tc>
          <w:tcPr>
            <w:tcW w:type="dxa" w:w="4320"/>
          </w:tcPr>
          <w:p>
            <w:r>
              <w:t>Kern</w:t>
            </w:r>
          </w:p>
        </w:tc>
      </w:tr>
      <w:tr>
        <w:tc>
          <w:tcPr>
            <w:tcW w:type="dxa" w:w="4320"/>
          </w:tcPr>
          <w:p>
            <w:r>
              <w:t>Bron</w:t>
            </w:r>
          </w:p>
        </w:tc>
        <w:tc>
          <w:tcPr>
            <w:tcW w:type="dxa" w:w="4320"/>
          </w:tcPr>
          <w:p>
            <w:r>
              <w:t>Stamcellen van een donor</w:t>
            </w:r>
          </w:p>
        </w:tc>
      </w:tr>
      <w:tr>
        <w:tc>
          <w:tcPr>
            <w:tcW w:type="dxa" w:w="4320"/>
          </w:tcPr>
          <w:p>
            <w:r>
              <w:t>Belangrijk voordeel</w:t>
            </w:r>
          </w:p>
        </w:tc>
        <w:tc>
          <w:tcPr>
            <w:tcW w:type="dxa" w:w="4320"/>
          </w:tcPr>
          <w:p>
            <w:r>
              <w:t>Graft-versus-tumor effect</w:t>
            </w:r>
          </w:p>
        </w:tc>
      </w:tr>
      <w:tr>
        <w:tc>
          <w:tcPr>
            <w:tcW w:type="dxa" w:w="4320"/>
          </w:tcPr>
          <w:p>
            <w:r>
              <w:t>Belangrijk nadeel</w:t>
            </w:r>
          </w:p>
        </w:tc>
        <w:tc>
          <w:tcPr>
            <w:tcW w:type="dxa" w:w="4320"/>
          </w:tcPr>
          <w:p>
            <w:r>
              <w:t>GVHD en risico op afstoting</w:t>
            </w:r>
          </w:p>
        </w:tc>
      </w:tr>
      <w:tr>
        <w:tc>
          <w:tcPr>
            <w:tcW w:type="dxa" w:w="4320"/>
          </w:tcPr>
          <w:p>
            <w:r>
              <w:t>Belang van HLA-matching</w:t>
            </w:r>
          </w:p>
        </w:tc>
        <w:tc>
          <w:tcPr>
            <w:tcW w:type="dxa" w:w="4320"/>
          </w:tcPr>
          <w:p>
            <w:r>
              <w:t>Zo identiek mogelijk tussen donor en ontvanger</w:t>
            </w:r>
          </w:p>
        </w:tc>
      </w:tr>
    </w:tbl>
    <w:p>
      <w:r>
        <w:t>---</w:t>
      </w:r>
    </w:p>
    <w:p>
      <w:pPr>
        <w:pStyle w:val="Heading4"/>
      </w:pPr>
      <w:r>
        <w:t>Het HLA-systeem</w:t>
      </w:r>
    </w:p>
    <w:p>
      <w:r>
        <w:t xml:space="preserve">Het </w:t>
      </w:r>
      <w:r>
        <w:rPr>
          <w:b/>
        </w:rPr>
        <w:t>HLA-systeem</w:t>
      </w:r>
      <w:r>
        <w:t xml:space="preserve"> speelt een centrale rol bij acceptatie of afstoting van weefsels en dus ook van stamceltransplantaten. HLA staat voor humane leukocyten antigenen. Hoe groter de verschillen tussen patiënt en donor in HLA-antigenen, hoe groter de kans op afstoting van het transplantaat en op omgekeerde afstoting.</w:t>
      </w:r>
    </w:p>
    <w:p>
      <w:r>
        <w:t>Iedere persoon heeft twee haplotypen: één van de moeder en één van de vader. De kans dat een broer of zus dezelfde twee haplotypen erft, is 25%. Daarom is de kans op een HLA-identieke broer of zus ook 25%.</w:t>
      </w:r>
    </w:p>
    <w:p>
      <w:r>
        <w:t>De HLA-antigenen worden codominant tot expressie gebracht: zowel de maternale als de paternale variant staat op het celoppervlak.</w:t>
      </w:r>
    </w:p>
    <w:p>
      <w:pPr>
        <w:pStyle w:val="Heading5"/>
      </w:pPr>
      <w:r>
        <w:t>HLA-klasse I en II</w:t>
      </w:r>
    </w:p>
    <w:p>
      <w:r>
        <w:t>HLA-antigenen worden verdeeld in klasse I en klasse II.</w:t>
      </w:r>
    </w:p>
    <w:p>
      <w:pPr>
        <w:pStyle w:val="ListBullet"/>
      </w:pPr>
      <w:r>
        <w:rPr>
          <w:b/>
        </w:rPr>
        <w:t>HLA-klasse I</w:t>
      </w:r>
      <w:r>
        <w:t>: HLA-A, HLA-B en HLA-C</w:t>
      </w:r>
    </w:p>
    <w:p>
      <w:r>
        <w:t xml:space="preserve">Deze komen voor op alle kernhoudende cellen en op trombocyten. Ze presenteren intracellulaire antigenen of peptiden aan </w:t>
      </w:r>
      <w:r>
        <w:rPr>
          <w:b/>
        </w:rPr>
        <w:t>CD8+ T-lymfocyten</w:t>
      </w:r>
      <w:r>
        <w:t>. De gepresenteerde peptiden zijn meestal 8–11 aminozuren lang.</w:t>
      </w:r>
    </w:p>
    <w:p>
      <w:pPr>
        <w:pStyle w:val="ListBullet"/>
      </w:pPr>
      <w:r>
        <w:rPr>
          <w:b/>
        </w:rPr>
        <w:t>HLA-klasse II</w:t>
      </w:r>
      <w:r>
        <w:t>: HLA-DR, HLA-DQ en HLA-DP</w:t>
      </w:r>
    </w:p>
    <w:p>
      <w:r>
        <w:t xml:space="preserve">Deze komen voor op antigeenpresenterende cellen zoals macrofagen, B-cellen en dendritische cellen. Ze presenteren extracellulaire antigenen aan </w:t>
      </w:r>
      <w:r>
        <w:rPr>
          <w:b/>
        </w:rPr>
        <w:t>CD4+ T-lymfocyten</w:t>
      </w:r>
      <w:r>
        <w:t>. De peptiden zijn meestal 9–30 aminozuren lang.</w:t>
      </w:r>
    </w:p>
    <w:p>
      <w:pPr>
        <w:pStyle w:val="Heading5"/>
      </w:pPr>
      <w:r>
        <w:t>Tabel 3. HLA-klasse I versus HLA-klasse II</w:t>
      </w:r>
    </w:p>
    <w:tbl>
      <w:tblPr>
        <w:tblStyle w:val="TableGrid"/>
        <w:tblW w:type="auto" w:w="0"/>
        <w:tblLook w:firstColumn="1" w:firstRow="1" w:lastColumn="0" w:lastRow="0" w:noHBand="0" w:noVBand="1" w:val="04A0"/>
      </w:tblPr>
      <w:tblGrid>
        <w:gridCol w:w="2880"/>
        <w:gridCol w:w="2880"/>
        <w:gridCol w:w="2880"/>
      </w:tblGrid>
      <w:tr>
        <w:tc>
          <w:tcPr>
            <w:tcW w:type="dxa" w:w="2880"/>
          </w:tcPr>
          <w:p>
            <w:r>
              <w:t>Kenmerk</w:t>
            </w:r>
          </w:p>
        </w:tc>
        <w:tc>
          <w:tcPr>
            <w:tcW w:type="dxa" w:w="2880"/>
          </w:tcPr>
          <w:p>
            <w:r>
              <w:t>HLA-klasse I</w:t>
            </w:r>
          </w:p>
        </w:tc>
        <w:tc>
          <w:tcPr>
            <w:tcW w:type="dxa" w:w="2880"/>
          </w:tcPr>
          <w:p>
            <w:r>
              <w:t>HLA-klasse II</w:t>
            </w:r>
          </w:p>
        </w:tc>
      </w:tr>
      <w:tr>
        <w:tc>
          <w:tcPr>
            <w:tcW w:type="dxa" w:w="2880"/>
          </w:tcPr>
          <w:p>
            <w:r>
              <w:t>Voorbeelden</w:t>
            </w:r>
          </w:p>
        </w:tc>
        <w:tc>
          <w:tcPr>
            <w:tcW w:type="dxa" w:w="2880"/>
          </w:tcPr>
          <w:p>
            <w:r>
              <w:t>HLA-A, -B, -C</w:t>
            </w:r>
          </w:p>
        </w:tc>
        <w:tc>
          <w:tcPr>
            <w:tcW w:type="dxa" w:w="2880"/>
          </w:tcPr>
          <w:p>
            <w:r>
              <w:t>HLA-DR, -DQ, -DP</w:t>
            </w:r>
          </w:p>
        </w:tc>
      </w:tr>
      <w:tr>
        <w:tc>
          <w:tcPr>
            <w:tcW w:type="dxa" w:w="2880"/>
          </w:tcPr>
          <w:p>
            <w:r>
              <w:t>Komt voor op</w:t>
            </w:r>
          </w:p>
        </w:tc>
        <w:tc>
          <w:tcPr>
            <w:tcW w:type="dxa" w:w="2880"/>
          </w:tcPr>
          <w:p>
            <w:r>
              <w:t>Alle kernhoudende cellen en trombocyten</w:t>
            </w:r>
          </w:p>
        </w:tc>
        <w:tc>
          <w:tcPr>
            <w:tcW w:type="dxa" w:w="2880"/>
          </w:tcPr>
          <w:p>
            <w:r>
              <w:t>Antigeenpresenterende cellen</w:t>
            </w:r>
          </w:p>
        </w:tc>
      </w:tr>
      <w:tr>
        <w:tc>
          <w:tcPr>
            <w:tcW w:type="dxa" w:w="2880"/>
          </w:tcPr>
          <w:p>
            <w:r>
              <w:t>Type antigeen</w:t>
            </w:r>
          </w:p>
        </w:tc>
        <w:tc>
          <w:tcPr>
            <w:tcW w:type="dxa" w:w="2880"/>
          </w:tcPr>
          <w:p>
            <w:r>
              <w:t>Intracellulair</w:t>
            </w:r>
          </w:p>
        </w:tc>
        <w:tc>
          <w:tcPr>
            <w:tcW w:type="dxa" w:w="2880"/>
          </w:tcPr>
          <w:p>
            <w:r>
              <w:t>Extracellulair</w:t>
            </w:r>
          </w:p>
        </w:tc>
      </w:tr>
      <w:tr>
        <w:tc>
          <w:tcPr>
            <w:tcW w:type="dxa" w:w="2880"/>
          </w:tcPr>
          <w:p>
            <w:r>
              <w:t>T-celrespons</w:t>
            </w:r>
          </w:p>
        </w:tc>
        <w:tc>
          <w:tcPr>
            <w:tcW w:type="dxa" w:w="2880"/>
          </w:tcPr>
          <w:p>
            <w:r>
              <w:t>CD8+ T-cellen</w:t>
            </w:r>
          </w:p>
        </w:tc>
        <w:tc>
          <w:tcPr>
            <w:tcW w:type="dxa" w:w="2880"/>
          </w:tcPr>
          <w:p>
            <w:r>
              <w:t>CD4+ T-cellen</w:t>
            </w:r>
          </w:p>
        </w:tc>
      </w:tr>
    </w:tbl>
    <w:p>
      <w:r>
        <w:rPr>
          <w:b/>
        </w:rPr>
        <w:t>Aandacht:</w:t>
      </w:r>
      <w:r>
        <w:t xml:space="preserve"> waarom zijn HLA-antigenen zo belangrijk bij transplantatie?  </w:t>
        <w:br/>
      </w:r>
      <w:r>
        <w:rPr>
          <w:b/>
        </w:rPr>
        <w:t>Mini-antwoord:</w:t>
      </w:r>
      <w:r>
        <w:t xml:space="preserve"> omdat verschillen in HLA de kans op afstoting en GVHD vergroten, dus donor en ontvanger moeten zo goed mogelijk matchen.</w:t>
      </w:r>
    </w:p>
    <w:p>
      <w:pPr>
        <w:pStyle w:val="Heading5"/>
      </w:pPr>
      <w:r>
        <w:t>Alloreactiviteit en minor antigens</w:t>
      </w:r>
    </w:p>
    <w:p>
      <w:r>
        <w:t xml:space="preserve">De herkenning van vreemde HLA-antigenen en de reactie daarop heet </w:t>
      </w:r>
      <w:r>
        <w:rPr>
          <w:b/>
        </w:rPr>
        <w:t>alloreactiviteit</w:t>
      </w:r>
      <w:r>
        <w:t>. T-cellen kunnen allo-donor-HLA op twee manieren herkennen:</w:t>
      </w:r>
    </w:p>
    <w:p>
      <w:pPr>
        <w:pStyle w:val="ListBullet"/>
      </w:pPr>
      <w:r>
        <w:rPr>
          <w:b/>
        </w:rPr>
        <w:t>direct</w:t>
      </w:r>
      <w:r>
        <w:t>: T-cellen binden aan vreemd HLA op het oppervlak van een andere cel;</w:t>
      </w:r>
    </w:p>
    <w:p>
      <w:pPr>
        <w:pStyle w:val="ListBullet"/>
      </w:pPr>
      <w:r>
        <w:rPr>
          <w:b/>
        </w:rPr>
        <w:t>indirect</w:t>
      </w:r>
      <w:r>
        <w:t>: vreemd HLA wordt gepresenteerd in de context van het eigen HLA-systeem.</w:t>
      </w:r>
    </w:p>
    <w:p>
      <w:r>
        <w:t xml:space="preserve">Zelfs als donor en ontvanger HLA-identiek zijn, kan toch nog afstoting optreden. Dat komt door verschillen in eiwitten die gecodeerd worden door polymorfe genen buiten het HLA-systeem. Dat zijn de zogenoemde </w:t>
      </w:r>
      <w:r>
        <w:rPr>
          <w:b/>
        </w:rPr>
        <w:t>minor HLA-antigenen</w:t>
      </w:r>
      <w:r>
        <w:t>.</w:t>
      </w:r>
    </w:p>
    <w:p>
      <w:r>
        <w:t>Bijvoorbeeld: het H-Y-antigeen is specifiek voor mannen. Wanneer een vrouwelijke donor stamcellen geeft aan een mannelijke ontvanger, kan dat risico op omgekeerde afstoting groter maken.</w:t>
      </w:r>
    </w:p>
    <w:p>
      <w:r>
        <w:t>---</w:t>
      </w:r>
    </w:p>
    <w:p>
      <w:pPr>
        <w:pStyle w:val="Heading4"/>
      </w:pPr>
      <w:r>
        <w:t>Conditionering en infusie</w:t>
      </w:r>
    </w:p>
    <w:p>
      <w:r>
        <w:t xml:space="preserve">Voor allogene HSCT wordt een </w:t>
      </w:r>
      <w:r>
        <w:rPr>
          <w:b/>
        </w:rPr>
        <w:t>conditionering</w:t>
      </w:r>
      <w:r>
        <w:t xml:space="preserve"> of voorbehandeling gegeven. Dat is chemotherapie, al dan niet gecombineerd met totale lichaamsbestraling, vlak vóór de transplantatie. Het doel is de afweer van de patiënt te verzwakken, zodat het donortransplantaat niet wordt afgestoten.</w:t>
      </w:r>
    </w:p>
    <w:p>
      <w:r>
        <w:t>Er zijn twee hoofdtypen conditionering:</w:t>
      </w:r>
    </w:p>
    <w:p>
      <w:pPr>
        <w:pStyle w:val="ListBullet"/>
      </w:pPr>
      <w:r>
        <w:rPr>
          <w:b/>
        </w:rPr>
        <w:t>myeloablatief</w:t>
      </w:r>
      <w:r>
        <w:t>: hoge dosis chemotherapie, al dan niet met totale lichaamsbestraling;</w:t>
      </w:r>
    </w:p>
    <w:p>
      <w:pPr>
        <w:pStyle w:val="ListBullet"/>
      </w:pPr>
      <w:r>
        <w:rPr>
          <w:b/>
        </w:rPr>
        <w:t>niet-myeloablatief</w:t>
      </w:r>
      <w:r>
        <w:t xml:space="preserve"> of </w:t>
      </w:r>
      <w:r>
        <w:rPr>
          <w:b/>
        </w:rPr>
        <w:t>reduced intensity</w:t>
      </w:r>
      <w:r>
        <w:t>: lage dosis chemotherapie, al dan niet met totale lichaamsbestraling.</w:t>
      </w:r>
    </w:p>
    <w:p>
      <w:pPr>
        <w:pStyle w:val="Heading5"/>
      </w:pPr>
      <w:r>
        <w:t>Tabel 4. Myeloablatieve versus niet-myeloablatieve conditionering</w:t>
      </w:r>
    </w:p>
    <w:tbl>
      <w:tblPr>
        <w:tblStyle w:val="TableGrid"/>
        <w:tblW w:type="auto" w:w="0"/>
        <w:tblLook w:firstColumn="1" w:firstRow="1" w:lastColumn="0" w:lastRow="0" w:noHBand="0" w:noVBand="1" w:val="04A0"/>
      </w:tblPr>
      <w:tblGrid>
        <w:gridCol w:w="2880"/>
        <w:gridCol w:w="2880"/>
        <w:gridCol w:w="2880"/>
      </w:tblGrid>
      <w:tr>
        <w:tc>
          <w:tcPr>
            <w:tcW w:type="dxa" w:w="2880"/>
          </w:tcPr>
          <w:p>
            <w:r>
              <w:t>Kenmerk</w:t>
            </w:r>
          </w:p>
        </w:tc>
        <w:tc>
          <w:tcPr>
            <w:tcW w:type="dxa" w:w="2880"/>
          </w:tcPr>
          <w:p>
            <w:r>
              <w:t>Myeloablatief</w:t>
            </w:r>
          </w:p>
        </w:tc>
        <w:tc>
          <w:tcPr>
            <w:tcW w:type="dxa" w:w="2880"/>
          </w:tcPr>
          <w:p>
            <w:r>
              <w:t>Niet-myeloablatief</w:t>
            </w:r>
          </w:p>
        </w:tc>
      </w:tr>
      <w:tr>
        <w:tc>
          <w:tcPr>
            <w:tcW w:type="dxa" w:w="2880"/>
          </w:tcPr>
          <w:p>
            <w:r>
              <w:t>Dosis</w:t>
            </w:r>
          </w:p>
        </w:tc>
        <w:tc>
          <w:tcPr>
            <w:tcW w:type="dxa" w:w="2880"/>
          </w:tcPr>
          <w:p>
            <w:r>
              <w:t>Hoog</w:t>
            </w:r>
          </w:p>
        </w:tc>
        <w:tc>
          <w:tcPr>
            <w:tcW w:type="dxa" w:w="2880"/>
          </w:tcPr>
          <w:p>
            <w:r>
              <w:t>Laag</w:t>
            </w:r>
          </w:p>
        </w:tc>
      </w:tr>
      <w:tr>
        <w:tc>
          <w:tcPr>
            <w:tcW w:type="dxa" w:w="2880"/>
          </w:tcPr>
          <w:p>
            <w:r>
              <w:t>Beenmergsuppressie</w:t>
            </w:r>
          </w:p>
        </w:tc>
        <w:tc>
          <w:tcPr>
            <w:tcW w:type="dxa" w:w="2880"/>
          </w:tcPr>
          <w:p>
            <w:r>
              <w:t>Diep</w:t>
            </w:r>
          </w:p>
        </w:tc>
        <w:tc>
          <w:tcPr>
            <w:tcW w:type="dxa" w:w="2880"/>
          </w:tcPr>
          <w:p>
            <w:r>
              <w:t>Weinig</w:t>
            </w:r>
          </w:p>
        </w:tc>
      </w:tr>
      <w:tr>
        <w:tc>
          <w:tcPr>
            <w:tcW w:type="dxa" w:w="2880"/>
          </w:tcPr>
          <w:p>
            <w:r>
              <w:t>Pancytopenie</w:t>
            </w:r>
          </w:p>
        </w:tc>
        <w:tc>
          <w:tcPr>
            <w:tcW w:type="dxa" w:w="2880"/>
          </w:tcPr>
          <w:p>
            <w:r>
              <w:t>1–3 weken, ernstig</w:t>
            </w:r>
          </w:p>
        </w:tc>
        <w:tc>
          <w:tcPr>
            <w:tcW w:type="dxa" w:w="2880"/>
          </w:tcPr>
          <w:p>
            <w:r>
              <w:t>Nauwelijks</w:t>
            </w:r>
          </w:p>
        </w:tc>
      </w:tr>
      <w:tr>
        <w:tc>
          <w:tcPr>
            <w:tcW w:type="dxa" w:w="2880"/>
          </w:tcPr>
          <w:p>
            <w:r>
              <w:t>Toxiciteit</w:t>
            </w:r>
          </w:p>
        </w:tc>
        <w:tc>
          <w:tcPr>
            <w:tcW w:type="dxa" w:w="2880"/>
          </w:tcPr>
          <w:p>
            <w:r>
              <w:t>Veel</w:t>
            </w:r>
          </w:p>
        </w:tc>
        <w:tc>
          <w:tcPr>
            <w:tcW w:type="dxa" w:w="2880"/>
          </w:tcPr>
          <w:p>
            <w:r>
              <w:t>Minder</w:t>
            </w:r>
          </w:p>
        </w:tc>
      </w:tr>
      <w:tr>
        <w:tc>
          <w:tcPr>
            <w:tcW w:type="dxa" w:w="2880"/>
          </w:tcPr>
          <w:p>
            <w:r>
              <w:t>Anti-ziekte-effect</w:t>
            </w:r>
          </w:p>
        </w:tc>
        <w:tc>
          <w:tcPr>
            <w:tcW w:type="dxa" w:w="2880"/>
          </w:tcPr>
          <w:p>
            <w:r>
              <w:t>Door conditionering én graft-versus-ziekte</w:t>
            </w:r>
          </w:p>
        </w:tc>
        <w:tc>
          <w:tcPr>
            <w:tcW w:type="dxa" w:w="2880"/>
          </w:tcPr>
          <w:p>
            <w:r>
              <w:t>Vooral door graft-versus-ziekte</w:t>
            </w:r>
          </w:p>
        </w:tc>
      </w:tr>
      <w:tr>
        <w:tc>
          <w:tcPr>
            <w:tcW w:type="dxa" w:w="2880"/>
          </w:tcPr>
          <w:p>
            <w:r>
              <w:t>Herstel bij falen transplantaat</w:t>
            </w:r>
          </w:p>
        </w:tc>
        <w:tc>
          <w:tcPr>
            <w:tcW w:type="dxa" w:w="2880"/>
          </w:tcPr>
          <w:p>
            <w:r>
              <w:t>Niet vanzelf</w:t>
            </w:r>
          </w:p>
        </w:tc>
        <w:tc>
          <w:tcPr>
            <w:tcW w:type="dxa" w:w="2880"/>
          </w:tcPr>
          <w:p>
            <w:r>
              <w:t>Eigen bloedcelvorming kan weer op gang komen</w:t>
            </w:r>
          </w:p>
        </w:tc>
      </w:tr>
    </w:tbl>
    <w:p>
      <w:r>
        <w:t>Na ontdooien wordt het transplantaat toegediend via een perifere infuuslijn of een centraal veneuze katheter.</w:t>
      </w:r>
    </w:p>
    <w:p>
      <w:r>
        <w:t>---</w:t>
      </w:r>
    </w:p>
    <w:p>
      <w:pPr>
        <w:pStyle w:val="Heading4"/>
      </w:pPr>
      <w:r>
        <w:t>Complicaties van allogene HSCT</w:t>
      </w:r>
    </w:p>
    <w:p>
      <w:r>
        <w:t xml:space="preserve">Allogene HSCT is een intensieve behandeling met kortetermijn- en langetermijncomplicaties. Deze kunnen leiden tot </w:t>
      </w:r>
      <w:r>
        <w:rPr>
          <w:b/>
        </w:rPr>
        <w:t>transplantatie-gerelateerde mortaliteit (TRM)</w:t>
      </w:r>
      <w:r>
        <w:t>. De sterfte door transplantatiecomplicaties na allogene HSCT ligt gemiddeld rond 15%. Ook kan de kwaliteit van leven beïnvloed worden. Daarom moet het risico op complicaties altijd meegewogen worden in de keuze voor deze behandeling.</w:t>
      </w:r>
    </w:p>
    <w:p>
      <w:pPr>
        <w:pStyle w:val="Heading5"/>
      </w:pPr>
      <w:r>
        <w:t>Toxiciteit van conditionering</w:t>
      </w:r>
    </w:p>
    <w:p>
      <w:r>
        <w:t>Bij myeloablatieve conditionering zijn de toxiciteit en bijwerkingen groot. Mogelijke complicaties zijn:</w:t>
      </w:r>
    </w:p>
    <w:p>
      <w:pPr>
        <w:pStyle w:val="ListBullet"/>
      </w:pPr>
      <w:r>
        <w:t>tijdelijke diepe pancytopenie;</w:t>
      </w:r>
    </w:p>
    <w:p>
      <w:pPr>
        <w:pStyle w:val="ListBullet"/>
      </w:pPr>
      <w:r>
        <w:t>infecties;</w:t>
      </w:r>
    </w:p>
    <w:p>
      <w:pPr>
        <w:pStyle w:val="ListBullet"/>
      </w:pPr>
      <w:r>
        <w:t>mucositis;</w:t>
      </w:r>
    </w:p>
    <w:p>
      <w:pPr>
        <w:pStyle w:val="ListBullet"/>
      </w:pPr>
      <w:r>
        <w:t>alopecie;</w:t>
      </w:r>
    </w:p>
    <w:p>
      <w:pPr>
        <w:pStyle w:val="ListBullet"/>
      </w:pPr>
      <w:r>
        <w:t>misselijkheid en braken;</w:t>
      </w:r>
    </w:p>
    <w:p>
      <w:pPr>
        <w:pStyle w:val="ListBullet"/>
      </w:pPr>
      <w:r>
        <w:t>infertiliteit;</w:t>
      </w:r>
    </w:p>
    <w:p>
      <w:pPr>
        <w:pStyle w:val="ListBullet"/>
      </w:pPr>
      <w:r>
        <w:t>veno-occlusieve ziekte van de lever;</w:t>
      </w:r>
    </w:p>
    <w:p>
      <w:pPr>
        <w:pStyle w:val="ListBullet"/>
      </w:pPr>
      <w:r>
        <w:t>longschade;</w:t>
      </w:r>
    </w:p>
    <w:p>
      <w:pPr>
        <w:pStyle w:val="ListBullet"/>
      </w:pPr>
      <w:r>
        <w:t>hartfalen;</w:t>
      </w:r>
    </w:p>
    <w:p>
      <w:pPr>
        <w:pStyle w:val="ListBullet"/>
      </w:pPr>
      <w:r>
        <w:t>op langere termijn secundaire maligniteiten, hypothyreoïdie, staar en nierinsufficiëntie.</w:t>
      </w:r>
    </w:p>
    <w:p>
      <w:r>
        <w:t>Niet-myeloablatieve conditionering is minder toxisch.</w:t>
      </w:r>
    </w:p>
    <w:p>
      <w:pPr>
        <w:pStyle w:val="Heading5"/>
      </w:pPr>
      <w:r>
        <w:t>Acute GVHD</w:t>
      </w:r>
    </w:p>
    <w:p>
      <w:r>
        <w:rPr>
          <w:b/>
        </w:rPr>
        <w:t>Acute GVHD</w:t>
      </w:r>
      <w:r>
        <w:t xml:space="preserve"> wordt veroorzaakt door alloreactieve T-cellen van de donor. De incidentie is ongeveer 50%, maar varieert per donor, stamcelbron en profylaxe. Het begint meestal tussen dag +10 en +50 bij myeloablatieve stamceltransplantatie. Na niet-myeloablatieve conditionering kan het tijdstip later en meer variabel zijn, soms ook pas na dag 100.</w:t>
      </w:r>
    </w:p>
    <w:p>
      <w:r>
        <w:t>Belangrijke targetorganen zijn:</w:t>
      </w:r>
    </w:p>
    <w:p>
      <w:pPr>
        <w:pStyle w:val="ListBullet"/>
      </w:pPr>
      <w:r>
        <w:t>huid: roodheid en blaarvorming;</w:t>
      </w:r>
    </w:p>
    <w:p>
      <w:pPr>
        <w:pStyle w:val="ListBullet"/>
      </w:pPr>
      <w:r>
        <w:t>tractus digestivus: misselijkheid, braken, diarree;</w:t>
      </w:r>
    </w:p>
    <w:p>
      <w:pPr>
        <w:pStyle w:val="ListBullet"/>
      </w:pPr>
      <w:r>
        <w:t>lever: geelzucht.</w:t>
      </w:r>
    </w:p>
    <w:p>
      <w:r>
        <w:t>De ernst wordt gegradeerd van 1 tot 4. Profylaxe bestaat uit immuunsuppressieve medicatie rondom en na de transplantatie, en soms uit het verwijderen of vernietigen van donor-T-cellen uit het transplantaat. Behandeling bestaat bij beperkte huidafwijkingen uit lokale corticosteroïden; bij uitgebreidere ziekte of betrokkenheid van darmen of lever worden hoge doses prednison gegeven.</w:t>
      </w:r>
    </w:p>
    <w:p>
      <w:pPr>
        <w:pStyle w:val="Heading5"/>
      </w:pPr>
      <w:r>
        <w:t>Chronische GVHD</w:t>
      </w:r>
    </w:p>
    <w:p>
      <w:r>
        <w:rPr>
          <w:b/>
        </w:rPr>
        <w:t>Chronische GVHD</w:t>
      </w:r>
      <w:r>
        <w:t xml:space="preserve"> treedt meestal later op, vaak tijdens het afbouwen van immunosuppressie. Het ziektebeeld is zeer variabel en kan mild tot zeer ernstig verlopen. Bijna elk orgaan kan aangedaan zijn, vooral huid, ogen, mond, lever en longen. Het kan gepaard gaan met ernstige immuundeficiëntie en opportunistische infecties. Behandeling hangt af van de ernst: lokaal bij beperkte klachten, systemisch met prednison bij ernstiger vormen.</w:t>
      </w:r>
    </w:p>
    <w:p>
      <w:pPr>
        <w:pStyle w:val="Heading5"/>
      </w:pPr>
      <w:r>
        <w:t>Opportunistische infecties en immuunreconstitutie</w:t>
      </w:r>
    </w:p>
    <w:p>
      <w:r>
        <w:t>Na allogene HSCT is het risico op infecties verhoogd. Dat komt door neutropenie in de vroege fase, vooral na myeloablatieve conditionering, én door langdurige B- en T-lymfopenie. Het herstel van nieuwe naïeve CD4+ T-cellen kan 1 tot 2 jaar duren.</w:t>
      </w:r>
    </w:p>
    <w:tbl>
      <w:tblPr>
        <w:tblStyle w:val="TableGrid"/>
        <w:tblW w:type="auto" w:w="0"/>
        <w:tblLook w:firstColumn="1" w:firstRow="1" w:lastColumn="0" w:lastRow="0" w:noHBand="0" w:noVBand="1" w:val="04A0"/>
      </w:tblPr>
      <w:tblGrid>
        <w:gridCol w:w="4320"/>
        <w:gridCol w:w="4320"/>
      </w:tblGrid>
      <w:tr>
        <w:tc>
          <w:tcPr>
            <w:tcW w:type="dxa" w:w="4320"/>
          </w:tcPr>
          <w:p>
            <w:r>
              <w:t>Onderdeel van herstel</w:t>
            </w:r>
          </w:p>
        </w:tc>
        <w:tc>
          <w:tcPr>
            <w:tcW w:type="dxa" w:w="4320"/>
          </w:tcPr>
          <w:p>
            <w:r>
              <w:t>Tijd</w:t>
            </w:r>
          </w:p>
        </w:tc>
      </w:tr>
      <w:tr>
        <w:tc>
          <w:tcPr>
            <w:tcW w:type="dxa" w:w="4320"/>
          </w:tcPr>
          <w:p>
            <w:r>
              <w:t>Epitheliale barrières, granulocyten, NK-cellen</w:t>
            </w:r>
          </w:p>
        </w:tc>
        <w:tc>
          <w:tcPr>
            <w:tcW w:type="dxa" w:w="4320"/>
          </w:tcPr>
          <w:p>
            <w:r>
              <w:t>&lt; 1 maand</w:t>
            </w:r>
          </w:p>
        </w:tc>
      </w:tr>
      <w:tr>
        <w:tc>
          <w:tcPr>
            <w:tcW w:type="dxa" w:w="4320"/>
          </w:tcPr>
          <w:p>
            <w:r>
              <w:t>B-cellen en T-cellen</w:t>
            </w:r>
          </w:p>
        </w:tc>
        <w:tc>
          <w:tcPr>
            <w:tcW w:type="dxa" w:w="4320"/>
          </w:tcPr>
          <w:p>
            <w:r>
              <w:t>6–24 maanden</w:t>
            </w:r>
          </w:p>
        </w:tc>
      </w:tr>
    </w:tbl>
    <w:p>
      <w:r>
        <w:t>---</w:t>
      </w:r>
    </w:p>
    <w:p>
      <w:pPr>
        <w:pStyle w:val="Heading4"/>
      </w:pPr>
      <w:r>
        <w:t>CAR T-celtherapie</w:t>
      </w:r>
    </w:p>
    <w:p>
      <w:r>
        <w:t xml:space="preserve">CAR T-celtherapie is een nieuwe celtherapie die nog volop in ontwikkeling is, maar al duidelijk heeft laten zien dat de prognose van onder andere DLBCL sterk kan verbeteren. CAR staat voor </w:t>
      </w:r>
      <w:r>
        <w:rPr>
          <w:b/>
        </w:rPr>
        <w:t>chimeric antigen receptor</w:t>
      </w:r>
      <w:r>
        <w:t>.</w:t>
      </w:r>
    </w:p>
    <w:p>
      <w:r>
        <w:t>De behandeling verloopt in stappen:</w:t>
      </w:r>
    </w:p>
    <w:p>
      <w:pPr>
        <w:pStyle w:val="ListNumber"/>
      </w:pPr>
      <w:r>
        <w:rPr>
          <w:b/>
        </w:rPr>
        <w:t>aferese</w:t>
      </w:r>
      <w:r>
        <w:t>: T-cellen worden afgenomen uit het bloed;</w:t>
      </w:r>
    </w:p>
    <w:p>
      <w:pPr>
        <w:pStyle w:val="ListNumber"/>
      </w:pPr>
      <w:r>
        <w:rPr>
          <w:b/>
        </w:rPr>
        <w:t>modificatie</w:t>
      </w:r>
      <w:r>
        <w:t>: de T-cellen worden genetisch aangepast;</w:t>
      </w:r>
    </w:p>
    <w:p>
      <w:pPr>
        <w:pStyle w:val="ListNumber"/>
      </w:pPr>
      <w:r>
        <w:rPr>
          <w:b/>
        </w:rPr>
        <w:t>expansie en productvorming</w:t>
      </w:r>
      <w:r>
        <w:t>: de cellen worden vermeerderd;</w:t>
      </w:r>
    </w:p>
    <w:p>
      <w:pPr>
        <w:pStyle w:val="ListNumber"/>
      </w:pPr>
      <w:r>
        <w:rPr>
          <w:b/>
        </w:rPr>
        <w:t>preconditionering</w:t>
      </w:r>
      <w:r>
        <w:t>: de patiënt krijgt vooraf behandeling;</w:t>
      </w:r>
    </w:p>
    <w:p>
      <w:pPr>
        <w:pStyle w:val="ListNumber"/>
      </w:pPr>
      <w:r>
        <w:rPr>
          <w:b/>
        </w:rPr>
        <w:t>infusie</w:t>
      </w:r>
      <w:r>
        <w:t>: de CAR T-cellen worden teruggegeven.</w:t>
      </w:r>
    </w:p>
    <w:p>
      <w:r>
        <w:t>De CAR T-cellen herkennen vervolgens doelcellen en doden deze.</w:t>
      </w:r>
    </w:p>
    <w:p>
      <w:pPr>
        <w:pStyle w:val="Heading5"/>
      </w:pPr>
      <w:r>
        <w:t>Indicaties</w:t>
      </w:r>
    </w:p>
    <w:p>
      <w:r>
        <w:t>In Europa zijn verschillende CAR T-producten geregistreerd, onder andere voor multipel myeloom en diverse B-celmaligniteiten. In Nederland zijn de beschikbare indicaties beperkter en gaat het vooral om:</w:t>
      </w:r>
    </w:p>
    <w:p>
      <w:pPr>
        <w:pStyle w:val="ListBullet"/>
      </w:pPr>
      <w:r>
        <w:rPr>
          <w:b/>
        </w:rPr>
        <w:t>anti-CD19 CAR</w:t>
      </w:r>
      <w:r>
        <w:t xml:space="preserve"> bij diffuus grootcellig B-cellymfoom, na twee eerdere behandellijnen of bij primair refractaire ziekte;</w:t>
      </w:r>
    </w:p>
    <w:p>
      <w:pPr>
        <w:pStyle w:val="ListBullet"/>
      </w:pPr>
      <w:r>
        <w:rPr>
          <w:b/>
        </w:rPr>
        <w:t>acute lymfoblastaire leukemie (ALL)</w:t>
      </w:r>
      <w:r>
        <w:t xml:space="preserve"> bij kinderen en jongvolwassenen tot 25 jaar met recidief na beenmergtransplantatie of bij een tweede of later recidief van B-cel-ALL.</w:t>
      </w:r>
    </w:p>
    <w:p>
      <w:r>
        <w:t xml:space="preserve">CAR-T wordt ook besproken bij multipel myeloom en andere B-cellymfoomen. Voor multipel myeloom richten CAR-producten zich vaak op </w:t>
      </w:r>
      <w:r>
        <w:rPr>
          <w:b/>
        </w:rPr>
        <w:t>BCMA</w:t>
      </w:r>
      <w:r>
        <w:t>.</w:t>
      </w:r>
    </w:p>
    <w:p>
      <w:pPr>
        <w:pStyle w:val="Heading5"/>
      </w:pPr>
      <w:r>
        <w:t>Klinische studies en effect</w:t>
      </w:r>
    </w:p>
    <w:p>
      <w:r>
        <w:t>De overlevingscurve van refractair DLBCL was vóór CAR-T ongunstig. Klinische studies laten zien dat CAR-T de uitkomsten duidelijk heeft verbeterd. In de TRANSCEND-studie werd bijvoorbeeld een progressievrije overleving van ongeveer 40% op 24 maanden gezien, tegenover ongeveer 10% zonder CAR-T. Vergelijkbare resultaten worden gezien in verschillende anti-CD19 CAR-studies en ook in dagelijkse praktijk.</w:t>
      </w:r>
    </w:p>
    <w:p>
      <w:pPr>
        <w:pStyle w:val="Heading5"/>
      </w:pPr>
      <w:r>
        <w:t>Toxiciteit van CAR-T</w:t>
      </w:r>
    </w:p>
    <w:p>
      <w:r>
        <w:t>CAR-T kan gepaard gaan met belangrijke bijwerkingen:</w:t>
      </w:r>
    </w:p>
    <w:p>
      <w:pPr>
        <w:pStyle w:val="ListBullet"/>
      </w:pPr>
      <w:r>
        <w:rPr>
          <w:b/>
        </w:rPr>
        <w:t>cytokine release syndrome (CRS)</w:t>
      </w:r>
      <w:r>
        <w:t>: ontstaat door sterke immuunactivatie met snelle afgifte van cytokinen;</w:t>
      </w:r>
    </w:p>
    <w:p>
      <w:pPr>
        <w:pStyle w:val="ListBullet"/>
      </w:pPr>
      <w:r>
        <w:rPr>
          <w:b/>
        </w:rPr>
        <w:t>neurologische toxiciteit / ICANS</w:t>
      </w:r>
      <w:r>
        <w:t>: verwardheid, delier, afasie, insulten;</w:t>
      </w:r>
    </w:p>
    <w:p>
      <w:pPr>
        <w:pStyle w:val="ListBullet"/>
      </w:pPr>
      <w:r>
        <w:rPr>
          <w:b/>
        </w:rPr>
        <w:t>cytopenieën</w:t>
      </w:r>
      <w:r>
        <w:t>;</w:t>
      </w:r>
    </w:p>
    <w:p>
      <w:pPr>
        <w:pStyle w:val="ListBullet"/>
      </w:pPr>
      <w:r>
        <w:rPr>
          <w:b/>
        </w:rPr>
        <w:t>B-celaplasie</w:t>
      </w:r>
      <w:r>
        <w:t>;</w:t>
      </w:r>
    </w:p>
    <w:p>
      <w:pPr>
        <w:pStyle w:val="ListBullet"/>
      </w:pPr>
      <w:r>
        <w:rPr>
          <w:b/>
        </w:rPr>
        <w:t>hypogammaglobulinemie</w:t>
      </w:r>
      <w:r>
        <w:t>;</w:t>
      </w:r>
    </w:p>
    <w:p>
      <w:pPr>
        <w:pStyle w:val="ListBullet"/>
      </w:pPr>
      <w:r>
        <w:rPr>
          <w:b/>
        </w:rPr>
        <w:t>allergie of anafylaxie</w:t>
      </w:r>
      <w:r>
        <w:t>;</w:t>
      </w:r>
    </w:p>
    <w:p>
      <w:pPr>
        <w:pStyle w:val="ListBullet"/>
      </w:pPr>
      <w:r>
        <w:rPr>
          <w:b/>
        </w:rPr>
        <w:t>on-target, off-tumor toxiciteit</w:t>
      </w:r>
      <w:r>
        <w:t>;</w:t>
      </w:r>
    </w:p>
    <w:p>
      <w:pPr>
        <w:pStyle w:val="ListBullet"/>
      </w:pPr>
      <w:r>
        <w:t xml:space="preserve">zeldzaam: </w:t>
      </w:r>
      <w:r>
        <w:rPr>
          <w:b/>
        </w:rPr>
        <w:t>insertionele oncogenese</w:t>
      </w:r>
      <w:r>
        <w:t>.</w:t>
      </w:r>
    </w:p>
    <w:p>
      <w:r>
        <w:t>CRS treedt vaak samen op met maximale T-cel-expansie en ontstaat meestal binnen dagen na infusie. Neurologische toxiciteit treedt vaak later op. Veel toxiciteit is tijdelijk, maar specialistische opvang is noodzakelijk.</w:t>
      </w:r>
    </w:p>
    <w:p>
      <w:r>
        <w:t>---</w:t>
      </w:r>
    </w:p>
    <w:p>
      <w:pPr>
        <w:pStyle w:val="Heading4"/>
      </w:pPr>
      <w:r>
        <w:t>Uitdagingen van CAR T-celtherapie</w:t>
      </w:r>
    </w:p>
    <w:p>
      <w:r>
        <w:t>CAR-T is krachtig, maar niet voor iedereen geschikt. Een belangrijke uitdaging is de selectie van patiënten. Zij moeten lang genoeg kunnen wachten op productie van het product. Omdat veel patiënten refractair zijn op chemotherapie, is dat niet altijd mogelijk. Soms kan bestraling als overbrugging helpen, maar dat kan ook veel toxiciteit geven als een heel orgaan bestraald moet worden, bijvoorbeeld de lever.</w:t>
      </w:r>
    </w:p>
    <w:p>
      <w:r>
        <w:t xml:space="preserve">Een tweede uitdaging is </w:t>
      </w:r>
      <w:r>
        <w:rPr>
          <w:b/>
        </w:rPr>
        <w:t>resistentie</w:t>
      </w:r>
      <w:r>
        <w:t>. Belangrijke mechanismen zijn:</w:t>
      </w:r>
    </w:p>
    <w:p>
      <w:pPr>
        <w:pStyle w:val="ListBullet"/>
      </w:pPr>
      <w:r>
        <w:t>verlies van het doelantigeen;</w:t>
      </w:r>
    </w:p>
    <w:p>
      <w:pPr>
        <w:pStyle w:val="ListBullet"/>
      </w:pPr>
      <w:r>
        <w:t>verlies van T-cel-fitness;</w:t>
      </w:r>
    </w:p>
    <w:p>
      <w:pPr>
        <w:pStyle w:val="ListBullet"/>
      </w:pPr>
      <w:r>
        <w:t>een tumor-microklimaat dat de T-cel buiten houdt.</w:t>
      </w:r>
    </w:p>
    <w:p>
      <w:r>
        <w:t>Daarom worden nieuwe generaties CAR’s ontwikkeld, bijvoorbeeld met meerdere targets in plaats van alleen CD19. Ook kosten blijven een belangrijk punt.</w:t>
      </w:r>
    </w:p>
    <w:p>
      <w:r>
        <w:t>---</w:t>
      </w:r>
    </w:p>
    <w:p>
      <w:pPr>
        <w:pStyle w:val="Heading4"/>
      </w:pPr>
      <w:r>
        <w:t>Samenvatting</w:t>
      </w:r>
    </w:p>
    <w:p>
      <w:r>
        <w:t>HSCT is een behandeling met bloedvormende stamcellen na radio- en/of chemotherapie. Autologe HSCT gebruikt eigen stamcellen en is vooral belangrijk bij multipel myeloom. Allogene HSCT gebruikt donorstamcellen en heeft naast herstel van de bloedcelvorming ook een immuuntherapeutisch effect, maar geeft risico op GVHD en infecties. Het HLA-systeem is essentieel voor donorselectie, omdat HLA-verschillen de kans op afstoting vergroten. CAR T-celtherapie is een nieuwe, zeer effectieve behandeling bij onder andere B-celmaligniteiten, maar kent belangrijke toxiciteit en praktische uitdagingen.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