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57 – Het MM als voorbeeld voor targeted therapy in de hemato-oncologie</w:t>
      </w:r>
    </w:p>
    <w:p>
      <w:pPr>
        <w:pStyle w:val="Heading4"/>
      </w:pPr>
      <w:r>
        <w:t>Leerdoelen</w:t>
      </w:r>
    </w:p>
    <w:p>
      <w:r>
        <w:t>Na het bestuderen van deze stof kun je:</w:t>
      </w:r>
    </w:p>
    <w:p>
      <w:pPr>
        <w:pStyle w:val="ListBullet"/>
      </w:pPr>
      <w:r>
        <w:t>uitleggen hoe een kanker gericht kan worden aangevallen aan de hand van het voorbeeld multipel myeloom;</w:t>
      </w:r>
    </w:p>
    <w:p>
      <w:pPr>
        <w:pStyle w:val="ListBullet"/>
      </w:pPr>
      <w:r>
        <w:t>de werking van klassieke chemotherapie begrijpen;</w:t>
      </w:r>
    </w:p>
    <w:p>
      <w:pPr>
        <w:pStyle w:val="ListBullet"/>
      </w:pPr>
      <w:r>
        <w:t>de werkingsmechanismen van antistoftherapie, zoals monoklonale antistoffen, bispecifieke antistoffen en CAR-T-cellen begrijpen;</w:t>
      </w:r>
    </w:p>
    <w:p>
      <w:pPr>
        <w:pStyle w:val="ListBullet"/>
      </w:pPr>
      <w:r>
        <w:t>de werkingsmechanismen van immunomodulatoren (IMiDs) en proteasoomremmers begrijpen;</w:t>
      </w:r>
    </w:p>
    <w:p>
      <w:pPr>
        <w:pStyle w:val="ListBullet"/>
      </w:pPr>
      <w:r>
        <w:t>de werking van anti-apoptotische middelen zoals venetoclax en van andere small molecules zoals selinexor, ibrutinib en imatinib begrijpen;</w:t>
      </w:r>
    </w:p>
    <w:p>
      <w:pPr>
        <w:pStyle w:val="ListBullet"/>
      </w:pPr>
      <w:r>
        <w:t>begrijpen waardoor verschillende myeloomtherapieën, zoals melfalan, daratumumab, lenalidomide en carfilzomib, hun werkzaamheid kunnen verliezen.</w:t>
      </w:r>
    </w:p>
    <w:p>
      <w:pPr>
        <w:pStyle w:val="Heading4"/>
      </w:pPr>
      <w:r>
        <w:t>Wat is multipel myeloom?</w:t>
      </w:r>
    </w:p>
    <w:p>
      <w:r>
        <w:t>Multipel myeloom is een kwaadaardige woekering van plasmacellen in het beenmerg. Plasmacellen zijn normaal gesproken afgeleide B-cellen die antistoffen maken als onderdeel van de afweer. Bij multipel myeloom is er sprake van een klonale groei van deze cellen, waardoor één type antistof of lichte keten sterk toeneemt. Dat maakt de ziekte zowel een beenmergziekte als een ziekte van het afweersysteem en de botten.</w:t>
      </w:r>
    </w:p>
    <w:p>
      <w:r>
        <w:t>Het woord “multipel” past goed bij deze ziekte, omdat de afwijkingen vaak op meerdere plekken voorkomen: het beeld is pleksgewijs, of “patchy”. De ziekte is dus niet overal in het beenmerg precies hetzelfde aanwezig.</w:t>
      </w:r>
    </w:p>
    <w:p>
      <w:pPr>
        <w:pStyle w:val="Heading5"/>
      </w:pPr>
      <w:r>
        <w:t>Functie van plasmacellen</w:t>
      </w:r>
    </w:p>
    <w:p>
      <w:r>
        <w:t>Normale plasmacellen helpen bij de bestrijding van infectieziekten door antistoffen te produceren. Antistoffen, ook immunoglobulines genoemd, bestaan uit een zware keten en een lichte keten. De zware keten is van het type IgA, IgG of IgM; de lichte keten is ofwel kappa of lambda. Daardoor ontstaan combinaties zoals IgG-kappa, IgA-kappa, IgG-lambda of IgA-lambda.</w:t>
      </w:r>
    </w:p>
    <w:p>
      <w:r>
        <w:t>Bij multipel myeloom produceert een kwaadaardige plasmacel in overmaat één bepaald type antistof. Tegelijkertijd zijn de overige immunoglobulines vaak juist verlaagd. Daardoor is de afweer minder breed en neemt het risico op infecties toe.</w:t>
      </w:r>
    </w:p>
    <w:p>
      <w:r>
        <w:rPr>
          <w:b/>
        </w:rPr>
        <w:t>Aandachtsvraag:</w:t>
      </w:r>
      <w:r>
        <w:t xml:space="preserve"> Waarom krijgt iemand met veel M-proteïne toch vaker infecties?  </w:t>
        <w:br/>
      </w:r>
      <w:r>
        <w:rPr>
          <w:b/>
        </w:rPr>
        <w:t>Kort antwoord:</w:t>
      </w:r>
      <w:r>
        <w:t xml:space="preserve"> Omdat juist de andere, normale immunoglobulines verlaagd zijn.</w:t>
      </w:r>
    </w:p>
    <w:p>
      <w:pPr>
        <w:pStyle w:val="Heading4"/>
      </w:pPr>
      <w:r>
        <w:t>Hoe vaak komt multipel myeloom voor?</w:t>
      </w:r>
    </w:p>
    <w:p>
      <w:r>
        <w:t>Multipel myeloom is een relatief zeldzame vorm van kanker, maar wel een belangrijke hematologische maligniteit.</w:t>
      </w:r>
    </w:p>
    <w:p>
      <w:r>
        <w:rPr>
          <w:b/>
        </w:rPr>
        <w:t>Tabel 1. Frequentie en voorkomen van multipel myeloom</w:t>
      </w:r>
    </w:p>
    <w:tbl>
      <w:tblPr>
        <w:tblStyle w:val="TableGrid"/>
        <w:tblW w:type="auto" w:w="0"/>
        <w:tblLook w:firstColumn="1" w:firstRow="1" w:lastColumn="0" w:lastRow="0" w:noHBand="0" w:noVBand="1" w:val="04A0"/>
      </w:tblPr>
      <w:tblGrid>
        <w:gridCol w:w="4320"/>
        <w:gridCol w:w="4320"/>
      </w:tblGrid>
      <w:tr>
        <w:tc>
          <w:tcPr>
            <w:tcW w:type="dxa" w:w="4320"/>
          </w:tcPr>
          <w:p>
            <w:r>
              <w:t>Kenmerk</w:t>
            </w:r>
          </w:p>
        </w:tc>
        <w:tc>
          <w:tcPr>
            <w:tcW w:type="dxa" w:w="4320"/>
          </w:tcPr>
          <w:p>
            <w:r>
              <w:t>Gegevens</w:t>
            </w:r>
          </w:p>
        </w:tc>
      </w:tr>
      <w:tr>
        <w:tc>
          <w:tcPr>
            <w:tcW w:type="dxa" w:w="4320"/>
          </w:tcPr>
          <w:p>
            <w:r>
              <w:t>Aandeel van alle kwaadaardige ziektebeelden</w:t>
            </w:r>
          </w:p>
        </w:tc>
        <w:tc>
          <w:tcPr>
            <w:tcW w:type="dxa" w:w="4320"/>
          </w:tcPr>
          <w:p>
            <w:r>
              <w:t>ongeveer 1%</w:t>
            </w:r>
          </w:p>
        </w:tc>
      </w:tr>
      <w:tr>
        <w:tc>
          <w:tcPr>
            <w:tcW w:type="dxa" w:w="4320"/>
          </w:tcPr>
          <w:p>
            <w:r>
              <w:t>Aandeel van hematologische maligniteiten</w:t>
            </w:r>
          </w:p>
        </w:tc>
        <w:tc>
          <w:tcPr>
            <w:tcW w:type="dxa" w:w="4320"/>
          </w:tcPr>
          <w:p>
            <w:r>
              <w:t>ongeveer 10%</w:t>
            </w:r>
          </w:p>
        </w:tc>
      </w:tr>
      <w:tr>
        <w:tc>
          <w:tcPr>
            <w:tcW w:type="dxa" w:w="4320"/>
          </w:tcPr>
          <w:p>
            <w:r>
              <w:t>Nieuwe patiënten per jaar in Nederland</w:t>
            </w:r>
          </w:p>
        </w:tc>
        <w:tc>
          <w:tcPr>
            <w:tcW w:type="dxa" w:w="4320"/>
          </w:tcPr>
          <w:p>
            <w:r>
              <w:t>circa 1117</w:t>
            </w:r>
          </w:p>
        </w:tc>
      </w:tr>
      <w:tr>
        <w:tc>
          <w:tcPr>
            <w:tcW w:type="dxa" w:w="4320"/>
          </w:tcPr>
          <w:p>
            <w:r>
              <w:t>Incidentie</w:t>
            </w:r>
          </w:p>
        </w:tc>
        <w:tc>
          <w:tcPr>
            <w:tcW w:type="dxa" w:w="4320"/>
          </w:tcPr>
          <w:p>
            <w:r>
              <w:t>ongeveer 65 patiënten per miljoen inwoners per jaar</w:t>
            </w:r>
          </w:p>
        </w:tc>
      </w:tr>
      <w:tr>
        <w:tc>
          <w:tcPr>
            <w:tcW w:type="dxa" w:w="4320"/>
          </w:tcPr>
          <w:p>
            <w:r>
              <w:t>Leeftijd</w:t>
            </w:r>
          </w:p>
        </w:tc>
        <w:tc>
          <w:tcPr>
            <w:tcW w:type="dxa" w:w="4320"/>
          </w:tcPr>
          <w:p>
            <w:r>
              <w:t>vooral op oudere leeftijd</w:t>
            </w:r>
          </w:p>
        </w:tc>
      </w:tr>
      <w:tr>
        <w:tc>
          <w:tcPr>
            <w:tcW w:type="dxa" w:w="4320"/>
          </w:tcPr>
          <w:p>
            <w:r>
              <w:t>Geslacht</w:t>
            </w:r>
          </w:p>
        </w:tc>
        <w:tc>
          <w:tcPr>
            <w:tcW w:type="dxa" w:w="4320"/>
          </w:tcPr>
          <w:p>
            <w:r>
              <w:t>mannen iets vaker dan vrouwen</w:t>
            </w:r>
          </w:p>
        </w:tc>
      </w:tr>
    </w:tbl>
    <w:p>
      <w:r>
        <w:t>De overleving is in de loop van de jaren sterk gestegen. Dat komt door de komst van veel verschillende geneesmiddelen en door betere ondersteunende zorg.</w:t>
      </w:r>
    </w:p>
    <w:p>
      <w:pPr>
        <w:pStyle w:val="Heading4"/>
      </w:pPr>
      <w:r>
        <w:t>Klinische kenmerken en orgaanschade</w:t>
      </w:r>
    </w:p>
    <w:p>
      <w:r>
        <w:t>Multipel myeloom kan zich op verschillende manieren uiten. De klachten passen vaak in een patroon van botproblemen, bloedarmoede, nierproblemen, hypercalciëmie en infecties.</w:t>
      </w:r>
    </w:p>
    <w:p>
      <w:r>
        <w:rPr>
          <w:b/>
        </w:rPr>
        <w:t>Tabel 2. Belangrijkste orgaanschade en klinische kenmerken bij multipel myeloom</w:t>
      </w:r>
    </w:p>
    <w:tbl>
      <w:tblPr>
        <w:tblStyle w:val="TableGrid"/>
        <w:tblW w:type="auto" w:w="0"/>
        <w:tblLook w:firstColumn="1" w:firstRow="1" w:lastColumn="0" w:lastRow="0" w:noHBand="0" w:noVBand="1" w:val="04A0"/>
      </w:tblPr>
      <w:tblGrid>
        <w:gridCol w:w="4320"/>
        <w:gridCol w:w="4320"/>
      </w:tblGrid>
      <w:tr>
        <w:tc>
          <w:tcPr>
            <w:tcW w:type="dxa" w:w="4320"/>
          </w:tcPr>
          <w:p>
            <w:r>
              <w:t>Kenmerk</w:t>
            </w:r>
          </w:p>
        </w:tc>
        <w:tc>
          <w:tcPr>
            <w:tcW w:type="dxa" w:w="4320"/>
          </w:tcPr>
          <w:p>
            <w:r>
              <w:t>Uitleg</w:t>
            </w:r>
          </w:p>
        </w:tc>
      </w:tr>
      <w:tr>
        <w:tc>
          <w:tcPr>
            <w:tcW w:type="dxa" w:w="4320"/>
          </w:tcPr>
          <w:p>
            <w:r>
              <w:t>Botletsels / osteolytische lesies</w:t>
            </w:r>
          </w:p>
        </w:tc>
        <w:tc>
          <w:tcPr>
            <w:tcW w:type="dxa" w:w="4320"/>
          </w:tcPr>
          <w:p>
            <w:r>
              <w:t>afbraak van bot, vaak zichtbaar op röntgenfoto’s</w:t>
            </w:r>
          </w:p>
        </w:tc>
      </w:tr>
      <w:tr>
        <w:tc>
          <w:tcPr>
            <w:tcW w:type="dxa" w:w="4320"/>
          </w:tcPr>
          <w:p>
            <w:r>
              <w:t>Botpijn</w:t>
            </w:r>
          </w:p>
        </w:tc>
        <w:tc>
          <w:tcPr>
            <w:tcW w:type="dxa" w:w="4320"/>
          </w:tcPr>
          <w:p>
            <w:r>
              <w:t>pijn door botafbraak en botbeschadiging</w:t>
            </w:r>
          </w:p>
        </w:tc>
      </w:tr>
      <w:tr>
        <w:tc>
          <w:tcPr>
            <w:tcW w:type="dxa" w:w="4320"/>
          </w:tcPr>
          <w:p>
            <w:r>
              <w:t>Bloedarmoede / anemie</w:t>
            </w:r>
          </w:p>
        </w:tc>
        <w:tc>
          <w:tcPr>
            <w:tcW w:type="dxa" w:w="4320"/>
          </w:tcPr>
          <w:p>
            <w:r>
              <w:t>minder rode bloedcellen, waardoor moeheid ontstaat</w:t>
            </w:r>
          </w:p>
        </w:tc>
      </w:tr>
      <w:tr>
        <w:tc>
          <w:tcPr>
            <w:tcW w:type="dxa" w:w="4320"/>
          </w:tcPr>
          <w:p>
            <w:r>
              <w:t>Nierschade / eiwit in urine</w:t>
            </w:r>
          </w:p>
        </w:tc>
        <w:tc>
          <w:tcPr>
            <w:tcW w:type="dxa" w:w="4320"/>
          </w:tcPr>
          <w:p>
            <w:r>
              <w:t>nierproblemen door onder meer lichte ketens</w:t>
            </w:r>
          </w:p>
        </w:tc>
      </w:tr>
      <w:tr>
        <w:tc>
          <w:tcPr>
            <w:tcW w:type="dxa" w:w="4320"/>
          </w:tcPr>
          <w:p>
            <w:r>
              <w:t>Hypercalciëmie</w:t>
            </w:r>
          </w:p>
        </w:tc>
        <w:tc>
          <w:tcPr>
            <w:tcW w:type="dxa" w:w="4320"/>
          </w:tcPr>
          <w:p>
            <w:r>
              <w:t>hoog calciumgehalte in het bloed</w:t>
            </w:r>
          </w:p>
        </w:tc>
      </w:tr>
      <w:tr>
        <w:tc>
          <w:tcPr>
            <w:tcW w:type="dxa" w:w="4320"/>
          </w:tcPr>
          <w:p>
            <w:r>
              <w:t>Verhoogd risico op infecties</w:t>
            </w:r>
          </w:p>
        </w:tc>
        <w:tc>
          <w:tcPr>
            <w:tcW w:type="dxa" w:w="4320"/>
          </w:tcPr>
          <w:p>
            <w:r>
              <w:t>door verstoring van de antistofproductie</w:t>
            </w:r>
          </w:p>
        </w:tc>
      </w:tr>
      <w:tr>
        <w:tc>
          <w:tcPr>
            <w:tcW w:type="dxa" w:w="4320"/>
          </w:tcPr>
          <w:p>
            <w:r>
              <w:t>Andere tekenen</w:t>
            </w:r>
          </w:p>
        </w:tc>
        <w:tc>
          <w:tcPr>
            <w:tcW w:type="dxa" w:w="4320"/>
          </w:tcPr>
          <w:p>
            <w:r>
              <w:t>vergrote lever, amyloïdose of zelfs weinig zichtbare afwijkingen</w:t>
            </w:r>
          </w:p>
        </w:tc>
      </w:tr>
    </w:tbl>
    <w:p>
      <w:r>
        <w:t>Een kernpunt bij multipel myeloom is dat de myeloomcel botafbraak stimuleert. De myeloomplasmacel zet de osteoclast aan, waardoor bot wordt afgebroken, en zet de osteoblast uit, waardoor botvorming vermindert. Zo ontstaan botlesies en wordt het skelet verzwakt.</w:t>
      </w:r>
    </w:p>
    <w:p>
      <w:r>
        <w:rPr>
          <w:b/>
        </w:rPr>
        <w:t>Aandachtsvraag:</w:t>
      </w:r>
      <w:r>
        <w:t xml:space="preserve"> Waarom ontstaan bij multipel myeloom zo vaak botproblemen?  </w:t>
        <w:br/>
      </w:r>
      <w:r>
        <w:rPr>
          <w:b/>
        </w:rPr>
        <w:t>Kort antwoord:</w:t>
      </w:r>
      <w:r>
        <w:t xml:space="preserve"> Omdat de myeloomcel botafbraak stimuleert en botopbouw remt.</w:t>
      </w:r>
    </w:p>
    <w:p>
      <w:pPr>
        <w:pStyle w:val="Heading5"/>
      </w:pPr>
      <w:r>
        <w:t>ROTI en CRAB</w:t>
      </w:r>
    </w:p>
    <w:p>
      <w:r>
        <w:t>Bij multipel myeloom worden orgaanschade en klinische kenmerken vaak samengevat met ROTI en CRAB.</w:t>
      </w:r>
    </w:p>
    <w:p>
      <w:r>
        <w:rPr>
          <w:b/>
        </w:rPr>
        <w:t>Tabel 3. ROTI en CRAB</w:t>
      </w:r>
    </w:p>
    <w:tbl>
      <w:tblPr>
        <w:tblStyle w:val="TableGrid"/>
        <w:tblW w:type="auto" w:w="0"/>
        <w:tblLook w:firstColumn="1" w:firstRow="1" w:lastColumn="0" w:lastRow="0" w:noHBand="0" w:noVBand="1" w:val="04A0"/>
      </w:tblPr>
      <w:tblGrid>
        <w:gridCol w:w="4320"/>
        <w:gridCol w:w="4320"/>
      </w:tblGrid>
      <w:tr>
        <w:tc>
          <w:tcPr>
            <w:tcW w:type="dxa" w:w="4320"/>
          </w:tcPr>
          <w:p>
            <w:r>
              <w:t>Afkorting</w:t>
            </w:r>
          </w:p>
        </w:tc>
        <w:tc>
          <w:tcPr>
            <w:tcW w:type="dxa" w:w="4320"/>
          </w:tcPr>
          <w:p>
            <w:r>
              <w:t>Betekenis</w:t>
            </w:r>
          </w:p>
        </w:tc>
      </w:tr>
      <w:tr>
        <w:tc>
          <w:tcPr>
            <w:tcW w:type="dxa" w:w="4320"/>
          </w:tcPr>
          <w:p>
            <w:r>
              <w:t>ROTI</w:t>
            </w:r>
          </w:p>
        </w:tc>
        <w:tc>
          <w:tcPr>
            <w:tcW w:type="dxa" w:w="4320"/>
          </w:tcPr>
          <w:p>
            <w:r>
              <w:t>Related Organ and Tissue Impairment</w:t>
            </w:r>
          </w:p>
        </w:tc>
      </w:tr>
      <w:tr>
        <w:tc>
          <w:tcPr>
            <w:tcW w:type="dxa" w:w="4320"/>
          </w:tcPr>
          <w:p>
            <w:r>
              <w:t>C</w:t>
            </w:r>
          </w:p>
        </w:tc>
        <w:tc>
          <w:tcPr>
            <w:tcW w:type="dxa" w:w="4320"/>
          </w:tcPr>
          <w:p>
            <w:r>
              <w:t>HyperCalciëmie</w:t>
            </w:r>
          </w:p>
        </w:tc>
      </w:tr>
      <w:tr>
        <w:tc>
          <w:tcPr>
            <w:tcW w:type="dxa" w:w="4320"/>
          </w:tcPr>
          <w:p>
            <w:r>
              <w:t>R</w:t>
            </w:r>
          </w:p>
        </w:tc>
        <w:tc>
          <w:tcPr>
            <w:tcW w:type="dxa" w:w="4320"/>
          </w:tcPr>
          <w:p>
            <w:r>
              <w:t>Renaal falen</w:t>
            </w:r>
          </w:p>
        </w:tc>
      </w:tr>
      <w:tr>
        <w:tc>
          <w:tcPr>
            <w:tcW w:type="dxa" w:w="4320"/>
          </w:tcPr>
          <w:p>
            <w:r>
              <w:t>A</w:t>
            </w:r>
          </w:p>
        </w:tc>
        <w:tc>
          <w:tcPr>
            <w:tcW w:type="dxa" w:w="4320"/>
          </w:tcPr>
          <w:p>
            <w:r>
              <w:t>Anemie</w:t>
            </w:r>
          </w:p>
        </w:tc>
      </w:tr>
      <w:tr>
        <w:tc>
          <w:tcPr>
            <w:tcW w:type="dxa" w:w="4320"/>
          </w:tcPr>
          <w:p>
            <w:r>
              <w:t>B</w:t>
            </w:r>
          </w:p>
        </w:tc>
        <w:tc>
          <w:tcPr>
            <w:tcW w:type="dxa" w:w="4320"/>
          </w:tcPr>
          <w:p>
            <w:r>
              <w:t>Botlesies / botafwijkingen</w:t>
            </w:r>
          </w:p>
        </w:tc>
      </w:tr>
    </w:tbl>
    <w:p>
      <w:r>
        <w:t>CRAB beschrijft dus de klassieke orgaanschade bij multipel myeloom. Deze schade is klinisch belangrijk, omdat zij laat zien dat de ziekte niet alleen aanwezig is, maar ook echt schade veroorzaakt.</w:t>
      </w:r>
    </w:p>
    <w:p>
      <w:pPr>
        <w:pStyle w:val="Heading4"/>
      </w:pPr>
      <w:r>
        <w:t>Van MGUS naar multipel myeloom</w:t>
      </w:r>
    </w:p>
    <w:p>
      <w:r>
        <w:t>Niet elke plasmacelafwijking is meteen actief multipel myeloom. Er is een overgang van een asymptomatische fase naar een symptomatische fase.</w:t>
      </w:r>
    </w:p>
    <w:p>
      <w:r>
        <w:rPr>
          <w:b/>
        </w:rPr>
        <w:t>Tabel 4. Ontwikkeling van MGUS naar multipel myeloom</w:t>
      </w:r>
    </w:p>
    <w:tbl>
      <w:tblPr>
        <w:tblStyle w:val="TableGrid"/>
        <w:tblW w:type="auto" w:w="0"/>
        <w:tblLook w:firstColumn="1" w:firstRow="1" w:lastColumn="0" w:lastRow="0" w:noHBand="0" w:noVBand="1" w:val="04A0"/>
      </w:tblPr>
      <w:tblGrid>
        <w:gridCol w:w="4320"/>
        <w:gridCol w:w="4320"/>
      </w:tblGrid>
      <w:tr>
        <w:tc>
          <w:tcPr>
            <w:tcW w:type="dxa" w:w="4320"/>
          </w:tcPr>
          <w:p>
            <w:r>
              <w:t>Stadium</w:t>
            </w:r>
          </w:p>
        </w:tc>
        <w:tc>
          <w:tcPr>
            <w:tcW w:type="dxa" w:w="4320"/>
          </w:tcPr>
          <w:p>
            <w:r>
              <w:t>Kenmerken</w:t>
            </w:r>
          </w:p>
        </w:tc>
      </w:tr>
      <w:tr>
        <w:tc>
          <w:tcPr>
            <w:tcW w:type="dxa" w:w="4320"/>
          </w:tcPr>
          <w:p>
            <w:r>
              <w:t>MGUS</w:t>
            </w:r>
          </w:p>
        </w:tc>
        <w:tc>
          <w:tcPr>
            <w:tcW w:type="dxa" w:w="4320"/>
          </w:tcPr>
          <w:p>
            <w:r>
              <w:t>beenmergplasmacellen &lt;10%, M-proteïne &lt;30 g/L, geen MDE</w:t>
            </w:r>
          </w:p>
        </w:tc>
      </w:tr>
      <w:tr>
        <w:tc>
          <w:tcPr>
            <w:tcW w:type="dxa" w:w="4320"/>
          </w:tcPr>
          <w:p>
            <w:r>
              <w:t>SMM</w:t>
            </w:r>
          </w:p>
        </w:tc>
        <w:tc>
          <w:tcPr>
            <w:tcW w:type="dxa" w:w="4320"/>
          </w:tcPr>
          <w:p>
            <w:r>
              <w:t>beenmergplasmacellen ≥10% en/of M-proteïne ≥30 g/L, maar nog geen MDE</w:t>
            </w:r>
          </w:p>
        </w:tc>
      </w:tr>
      <w:tr>
        <w:tc>
          <w:tcPr>
            <w:tcW w:type="dxa" w:w="4320"/>
          </w:tcPr>
          <w:p>
            <w:r>
              <w:t>MM</w:t>
            </w:r>
          </w:p>
        </w:tc>
        <w:tc>
          <w:tcPr>
            <w:tcW w:type="dxa" w:w="4320"/>
          </w:tcPr>
          <w:p>
            <w:r>
              <w:t>aanwezigheid van M-proteïne, plasmacellen in beenmerg en ROTI/CRAB</w:t>
            </w:r>
          </w:p>
        </w:tc>
      </w:tr>
    </w:tbl>
    <w:p>
      <w:r>
        <w:t>MGUS betekent monoclonale gammopathie van onzekere betekenis. Dit is een asymptomatische toestand. Daarna kan smouldering myeloom ontstaan, ook wel SMM genoemd. Pas bij multipel myeloom is er sprake van duidelijke ziekte met schade of myeloma defining events.</w:t>
      </w:r>
    </w:p>
    <w:p>
      <w:pPr>
        <w:pStyle w:val="Heading5"/>
      </w:pPr>
      <w:r>
        <w:t>Myeloma defining events</w:t>
      </w:r>
    </w:p>
    <w:p>
      <w:r>
        <w:t>De diagnose symptomatisch multipel myeloom wordt mede gesteld op basis van myeloma defining events, afgekort MDE. Deze criteria zijn belangrijk omdat veel patiënten met een asymptomatische fase uiteindelijk binnen enkele jaren symptomen ontwikkelen.</w:t>
      </w:r>
    </w:p>
    <w:p>
      <w:r>
        <w:rPr>
          <w:b/>
        </w:rPr>
        <w:t>Tabel 5. Myeloma defining events (MDE)</w:t>
      </w:r>
    </w:p>
    <w:tbl>
      <w:tblPr>
        <w:tblStyle w:val="TableGrid"/>
        <w:tblW w:type="auto" w:w="0"/>
        <w:tblLook w:firstColumn="1" w:firstRow="1" w:lastColumn="0" w:lastRow="0" w:noHBand="0" w:noVBand="1" w:val="04A0"/>
      </w:tblPr>
      <w:tblGrid>
        <w:gridCol w:w="4320"/>
        <w:gridCol w:w="4320"/>
      </w:tblGrid>
      <w:tr>
        <w:tc>
          <w:tcPr>
            <w:tcW w:type="dxa" w:w="4320"/>
          </w:tcPr>
          <w:p>
            <w:r>
              <w:t>MDE</w:t>
            </w:r>
          </w:p>
        </w:tc>
        <w:tc>
          <w:tcPr>
            <w:tcW w:type="dxa" w:w="4320"/>
          </w:tcPr>
          <w:p>
            <w:r>
              <w:t>Uitleg</w:t>
            </w:r>
          </w:p>
        </w:tc>
      </w:tr>
      <w:tr>
        <w:tc>
          <w:tcPr>
            <w:tcW w:type="dxa" w:w="4320"/>
          </w:tcPr>
          <w:p>
            <w:r>
              <w:t>Serum free light chain ratio ≥100</w:t>
            </w:r>
          </w:p>
        </w:tc>
        <w:tc>
          <w:tcPr>
            <w:tcW w:type="dxa" w:w="4320"/>
          </w:tcPr>
          <w:p>
            <w:r>
              <w:t>sterke scheefgroei tussen betrokken en niet-betrokken vrije lichte ketens</w:t>
            </w:r>
          </w:p>
        </w:tc>
      </w:tr>
      <w:tr>
        <w:tc>
          <w:tcPr>
            <w:tcW w:type="dxa" w:w="4320"/>
          </w:tcPr>
          <w:p>
            <w:r>
              <w:t>Plasmacelpopulatie in beenmerg ≥60%</w:t>
            </w:r>
          </w:p>
        </w:tc>
        <w:tc>
          <w:tcPr>
            <w:tcW w:type="dxa" w:w="4320"/>
          </w:tcPr>
          <w:p>
            <w:r>
              <w:t>zeer hoge plasmacelbezitting van het beenmerg</w:t>
            </w:r>
          </w:p>
        </w:tc>
      </w:tr>
      <w:tr>
        <w:tc>
          <w:tcPr>
            <w:tcW w:type="dxa" w:w="4320"/>
          </w:tcPr>
          <w:p>
            <w:r>
              <w:t>&gt;1 focale laesie op MRI</w:t>
            </w:r>
          </w:p>
        </w:tc>
        <w:tc>
          <w:tcPr>
            <w:tcW w:type="dxa" w:w="4320"/>
          </w:tcPr>
          <w:p>
            <w:r>
              <w:t>elke focale laesie moet ≥5 mm zijn</w:t>
            </w:r>
          </w:p>
        </w:tc>
      </w:tr>
    </w:tbl>
    <w:p>
      <w:r>
        <w:t>Ongeveer 70–80% van de patiënten met deze criteria ontwikkelt binnen 2 jaar symptomatisch multipel myeloom.</w:t>
      </w:r>
    </w:p>
    <w:p>
      <w:pPr>
        <w:pStyle w:val="Heading4"/>
      </w:pPr>
      <w:r>
        <w:t>Algemene behandeling van multipel myeloom</w:t>
      </w:r>
    </w:p>
    <w:p>
      <w:r>
        <w:t>De behandeling van multipel myeloom bestaat uit een combinatie van verschillende middelen en ondersteunende maatregelen. Het doel is niet alleen het remmen van de tumor, maar ook het verbeteren van kwaliteit van leven en het voorkomen van complicaties.</w:t>
      </w:r>
    </w:p>
    <w:p>
      <w:pPr>
        <w:pStyle w:val="Heading5"/>
      </w:pPr>
      <w:r>
        <w:t>Algemene ondersteunende maatregelen</w:t>
      </w:r>
    </w:p>
    <w:p>
      <w:r>
        <w:t>Voor de behandeling zijn er een aantal belangrijke algemene principes:</w:t>
      </w:r>
    </w:p>
    <w:p>
      <w:pPr>
        <w:pStyle w:val="ListBullet"/>
      </w:pPr>
      <w:r>
        <w:t>immobilisatie zo veel mogelijk vermijden; hoe minder in bed, hoe beter;</w:t>
      </w:r>
    </w:p>
    <w:p>
      <w:pPr>
        <w:pStyle w:val="ListBullet"/>
      </w:pPr>
      <w:r>
        <w:t>conditie verbeteren, bijvoorbeeld door wandelen, zwemmen of eventueel fietsen;</w:t>
      </w:r>
    </w:p>
    <w:p>
      <w:pPr>
        <w:pStyle w:val="ListBullet"/>
      </w:pPr>
      <w:r>
        <w:t>spieroefeningen, met name gericht op versterking van de rugspieren;</w:t>
      </w:r>
    </w:p>
    <w:p>
      <w:pPr>
        <w:pStyle w:val="ListBullet"/>
      </w:pPr>
      <w:r>
        <w:t>pijnbestrijding;</w:t>
      </w:r>
    </w:p>
    <w:p>
      <w:pPr>
        <w:pStyle w:val="ListBullet"/>
      </w:pPr>
      <w:r>
        <w:t>voldoende vochtinname, ten minste 2,5 liter per 24 uur;</w:t>
      </w:r>
    </w:p>
    <w:p>
      <w:pPr>
        <w:pStyle w:val="ListBullet"/>
      </w:pPr>
      <w:r>
        <w:t>profylaxe tegen botafwijkingen met bisfosfonaten, bijvoorbeeld APD-infuus één keer per maand gedurende 12 tot 24 maanden;</w:t>
      </w:r>
    </w:p>
    <w:p>
      <w:pPr>
        <w:pStyle w:val="ListBullet"/>
      </w:pPr>
      <w:r>
        <w:t>behandeling van hypercalciëmie met zoutinfuus van 4 tot 6 liter per 24 uur en bisfosfonaten;</w:t>
      </w:r>
    </w:p>
    <w:p>
      <w:pPr>
        <w:pStyle w:val="ListBullet"/>
      </w:pPr>
      <w:r>
        <w:t>eventueel hemodialyse bij sterk gestoorde nierwerking.</w:t>
      </w:r>
    </w:p>
    <w:p>
      <w:pPr>
        <w:pStyle w:val="Heading4"/>
      </w:pPr>
      <w:r>
        <w:t>Welke geneesmiddelengroepen worden gebruikt?</w:t>
      </w:r>
    </w:p>
    <w:p>
      <w:r>
        <w:t>De behandeling van multipel myeloom bestaat uit meerdere groepen middelen die elk op een ander doel aangrijpen. Juist die combinatie is belangrijk, omdat de ziekte slim kan ontsnappen aan één enkele aanpak.</w:t>
      </w:r>
    </w:p>
    <w:p>
      <w:r>
        <w:rPr>
          <w:b/>
        </w:rPr>
        <w:t>Tabel 6. Belangrijkste behandelgroepen bij multipel myeloom</w:t>
      </w:r>
    </w:p>
    <w:tbl>
      <w:tblPr>
        <w:tblStyle w:val="TableGrid"/>
        <w:tblW w:type="auto" w:w="0"/>
        <w:tblLook w:firstColumn="1" w:firstRow="1" w:lastColumn="0" w:lastRow="0" w:noHBand="0" w:noVBand="1" w:val="04A0"/>
      </w:tblPr>
      <w:tblGrid>
        <w:gridCol w:w="2880"/>
        <w:gridCol w:w="2880"/>
        <w:gridCol w:w="2880"/>
      </w:tblGrid>
      <w:tr>
        <w:tc>
          <w:tcPr>
            <w:tcW w:type="dxa" w:w="2880"/>
          </w:tcPr>
          <w:p>
            <w:r>
              <w:t>Groep</w:t>
            </w:r>
          </w:p>
        </w:tc>
        <w:tc>
          <w:tcPr>
            <w:tcW w:type="dxa" w:w="2880"/>
          </w:tcPr>
          <w:p>
            <w:r>
              <w:t>Voorbeelden</w:t>
            </w:r>
          </w:p>
        </w:tc>
        <w:tc>
          <w:tcPr>
            <w:tcW w:type="dxa" w:w="2880"/>
          </w:tcPr>
          <w:p>
            <w:r>
              <w:t>Kernwerking</w:t>
            </w:r>
          </w:p>
        </w:tc>
      </w:tr>
      <w:tr>
        <w:tc>
          <w:tcPr>
            <w:tcW w:type="dxa" w:w="2880"/>
          </w:tcPr>
          <w:p>
            <w:r>
              <w:t>Chemotherapie / alkylerende middelen</w:t>
            </w:r>
          </w:p>
        </w:tc>
        <w:tc>
          <w:tcPr>
            <w:tcW w:type="dxa" w:w="2880"/>
          </w:tcPr>
          <w:p>
            <w:r>
              <w:t>melfalan, cyclofosfamide, meelfufen</w:t>
            </w:r>
          </w:p>
        </w:tc>
        <w:tc>
          <w:tcPr>
            <w:tcW w:type="dxa" w:w="2880"/>
          </w:tcPr>
          <w:p>
            <w:r>
              <w:t>beschadigen DNA en remmen celdeling</w:t>
            </w:r>
          </w:p>
        </w:tc>
      </w:tr>
      <w:tr>
        <w:tc>
          <w:tcPr>
            <w:tcW w:type="dxa" w:w="2880"/>
          </w:tcPr>
          <w:p>
            <w:r>
              <w:t>Corticosteroïden</w:t>
            </w:r>
          </w:p>
        </w:tc>
        <w:tc>
          <w:tcPr>
            <w:tcW w:type="dxa" w:w="2880"/>
          </w:tcPr>
          <w:p>
            <w:r>
              <w:t>dexamethason, prednison</w:t>
            </w:r>
          </w:p>
        </w:tc>
        <w:tc>
          <w:tcPr>
            <w:tcW w:type="dxa" w:w="2880"/>
          </w:tcPr>
          <w:p>
            <w:r>
              <w:t>maken deel uit van combinatiebehandeling</w:t>
            </w:r>
          </w:p>
        </w:tc>
      </w:tr>
      <w:tr>
        <w:tc>
          <w:tcPr>
            <w:tcW w:type="dxa" w:w="2880"/>
          </w:tcPr>
          <w:p>
            <w:r>
              <w:t>Immunomodulerende middelen (IMiDs)</w:t>
            </w:r>
          </w:p>
        </w:tc>
        <w:tc>
          <w:tcPr>
            <w:tcW w:type="dxa" w:w="2880"/>
          </w:tcPr>
          <w:p>
            <w:r>
              <w:t>thalidomide, lenalidomide, pomalidomide</w:t>
            </w:r>
          </w:p>
        </w:tc>
        <w:tc>
          <w:tcPr>
            <w:tcW w:type="dxa" w:w="2880"/>
          </w:tcPr>
          <w:p>
            <w:r>
              <w:t>stimuleren afweer en werken anti-tumoraal</w:t>
            </w:r>
          </w:p>
        </w:tc>
      </w:tr>
      <w:tr>
        <w:tc>
          <w:tcPr>
            <w:tcW w:type="dxa" w:w="2880"/>
          </w:tcPr>
          <w:p>
            <w:r>
              <w:t>Proteasoomremmers</w:t>
            </w:r>
          </w:p>
        </w:tc>
        <w:tc>
          <w:tcPr>
            <w:tcW w:type="dxa" w:w="2880"/>
          </w:tcPr>
          <w:p>
            <w:r>
              <w:t>bortezomib, carfilzomib, ixazomib</w:t>
            </w:r>
          </w:p>
        </w:tc>
        <w:tc>
          <w:tcPr>
            <w:tcW w:type="dxa" w:w="2880"/>
          </w:tcPr>
          <w:p>
            <w:r>
              <w:t>blokkeren eiwitafbraak en leiden tot celdood</w:t>
            </w:r>
          </w:p>
        </w:tc>
      </w:tr>
      <w:tr>
        <w:tc>
          <w:tcPr>
            <w:tcW w:type="dxa" w:w="2880"/>
          </w:tcPr>
          <w:p>
            <w:r>
              <w:t>Monoklonale antistoffen</w:t>
            </w:r>
          </w:p>
        </w:tc>
        <w:tc>
          <w:tcPr>
            <w:tcW w:type="dxa" w:w="2880"/>
          </w:tcPr>
          <w:p>
            <w:r>
              <w:t>daratumumab, isatuximab, elotuzumab</w:t>
            </w:r>
          </w:p>
        </w:tc>
        <w:tc>
          <w:tcPr>
            <w:tcW w:type="dxa" w:w="2880"/>
          </w:tcPr>
          <w:p>
            <w:r>
              <w:t>binden gericht aan targets op de plasmacel</w:t>
            </w:r>
          </w:p>
        </w:tc>
      </w:tr>
      <w:tr>
        <w:tc>
          <w:tcPr>
            <w:tcW w:type="dxa" w:w="2880"/>
          </w:tcPr>
          <w:p>
            <w:r>
              <w:t>Bispecifieke antistoffen</w:t>
            </w:r>
          </w:p>
        </w:tc>
        <w:tc>
          <w:tcPr>
            <w:tcW w:type="dxa" w:w="2880"/>
          </w:tcPr>
          <w:p>
            <w:r>
              <w:t>teclistamab, talquetamab, elranatamab</w:t>
            </w:r>
          </w:p>
        </w:tc>
        <w:tc>
          <w:tcPr>
            <w:tcW w:type="dxa" w:w="2880"/>
          </w:tcPr>
          <w:p>
            <w:r>
              <w:t>brengen T-cel en myeloomcel dicht bij elkaar</w:t>
            </w:r>
          </w:p>
        </w:tc>
      </w:tr>
      <w:tr>
        <w:tc>
          <w:tcPr>
            <w:tcW w:type="dxa" w:w="2880"/>
          </w:tcPr>
          <w:p>
            <w:r>
              <w:t>CAR-T-celtherapie</w:t>
            </w:r>
          </w:p>
        </w:tc>
        <w:tc>
          <w:tcPr>
            <w:tcW w:type="dxa" w:w="2880"/>
          </w:tcPr>
          <w:p>
            <w:r>
              <w:t>CAR-T</w:t>
            </w:r>
          </w:p>
        </w:tc>
        <w:tc>
          <w:tcPr>
            <w:tcW w:type="dxa" w:w="2880"/>
          </w:tcPr>
          <w:p>
            <w:r>
              <w:t>eigen T-cellen worden aangepast en teruggegeven</w:t>
            </w:r>
          </w:p>
        </w:tc>
      </w:tr>
      <w:tr>
        <w:tc>
          <w:tcPr>
            <w:tcW w:type="dxa" w:w="2880"/>
          </w:tcPr>
          <w:p>
            <w:r>
              <w:t>Andere targeted therapie</w:t>
            </w:r>
          </w:p>
        </w:tc>
        <w:tc>
          <w:tcPr>
            <w:tcW w:type="dxa" w:w="2880"/>
          </w:tcPr>
          <w:p>
            <w:r>
              <w:t>selinexor, venetoclax</w:t>
            </w:r>
          </w:p>
        </w:tc>
        <w:tc>
          <w:tcPr>
            <w:tcW w:type="dxa" w:w="2880"/>
          </w:tcPr>
          <w:p>
            <w:r>
              <w:t>grijpen aan op export of apoptose</w:t>
            </w:r>
          </w:p>
        </w:tc>
      </w:tr>
    </w:tbl>
    <w:p>
      <w:pPr>
        <w:pStyle w:val="Heading4"/>
      </w:pPr>
      <w:r>
        <w:t>Werking van de belangrijkste middelen</w:t>
      </w:r>
    </w:p>
    <w:p>
      <w:pPr>
        <w:pStyle w:val="Heading5"/>
      </w:pPr>
      <w:r>
        <w:t>Chemotherapie</w:t>
      </w:r>
    </w:p>
    <w:p>
      <w:r>
        <w:t>Chemotherapie is in deze context niet doelgericht, maar wel effectief tegen snel delende cellen. Het is een direct cytotoxische behandeling.</w:t>
      </w:r>
    </w:p>
    <w:p>
      <w:pPr>
        <w:pStyle w:val="Heading6"/>
      </w:pPr>
      <w:r>
        <w:t>Melfalan</w:t>
      </w:r>
    </w:p>
    <w:p>
      <w:r>
        <w:t>Melfalan is een alkylerend middel. Het bindt aan guanine in DNA en induceert cross-links tussen DNA-strengen. Daardoor worden DNA-synthese en transcriptie verstoord. Melfalan is cytotoxisch voor zowel rustende als snel delende tumorcellen.</w:t>
      </w:r>
    </w:p>
    <w:p>
      <w:r>
        <w:t>Hooggedoseerd melfalan wordt gebruikt als consolidatiebehandeling na inductie. Het doel is om zo veel mogelijk resterende kwaadaardige plasmacellen te vernietigen en zo het ziektevrije interval te verlengen.</w:t>
      </w:r>
    </w:p>
    <w:p>
      <w:pPr>
        <w:pStyle w:val="Heading6"/>
      </w:pPr>
      <w:r>
        <w:t>Cyclofosfamide</w:t>
      </w:r>
    </w:p>
    <w:p>
      <w:r>
        <w:t>Cyclofosfamide wordt al meer dan 60 jaar gebruikt bij multipel myeloom. Het heeft niet alleen cytotoxische, maar ook duidelijke immunomodulerende activiteit. Het kan de immunosuppressieve tumormicro-omgeving veranderen, zodat andere therapieën beter werken.</w:t>
      </w:r>
    </w:p>
    <w:p>
      <w:r>
        <w:t>Cyclofosfamide wordt vaak gecombineerd met andere middelen, en vooral met pomalidomide en lenalidomide. Toevoeging van cyclofosfamide aan pomalidomide en dexamethason geeft een betere respons en een langer ziektevrij interval dan pomalidomide en dexamethason alleen.</w:t>
      </w:r>
    </w:p>
    <w:p>
      <w:pPr>
        <w:pStyle w:val="Heading5"/>
      </w:pPr>
      <w:r>
        <w:t>Immunomodulerende middelen: thalidomide, lenalidomide en pomalidomide</w:t>
      </w:r>
    </w:p>
    <w:p>
      <w:r>
        <w:t>Lenalidomide en pomalidomide behoren tot de immunomodulerende geneesmiddelen, de IMiDs. Ze hebben zowel directe effecten op tumorcellen als effecten op het immuunsysteem.</w:t>
      </w:r>
    </w:p>
    <w:p>
      <w:r>
        <w:t>De belangrijkste effecten zijn:</w:t>
      </w:r>
    </w:p>
    <w:p>
      <w:pPr>
        <w:pStyle w:val="ListBullet"/>
      </w:pPr>
      <w:r>
        <w:t>activatie van T-cellen, NK-cellen en dendritische cellen;</w:t>
      </w:r>
    </w:p>
    <w:p>
      <w:pPr>
        <w:pStyle w:val="ListBullet"/>
      </w:pPr>
      <w:r>
        <w:t>verandering van de tumormicro-omgeving;</w:t>
      </w:r>
    </w:p>
    <w:p>
      <w:pPr>
        <w:pStyle w:val="ListBullet"/>
      </w:pPr>
      <w:r>
        <w:t>inductie van apoptose;</w:t>
      </w:r>
    </w:p>
    <w:p>
      <w:pPr>
        <w:pStyle w:val="ListBullet"/>
      </w:pPr>
      <w:r>
        <w:t>verstoring van angiogenese;</w:t>
      </w:r>
    </w:p>
    <w:p>
      <w:pPr>
        <w:pStyle w:val="ListBullet"/>
      </w:pPr>
      <w:r>
        <w:t>remming van immunosuppressieve micro-omgevingen.</w:t>
      </w:r>
    </w:p>
    <w:p>
      <w:r>
        <w:t>Lenalidomide heeft daarnaast een effect op verschillende immuuncellen: het versterkt de killing van tumorcellen, verhoogt de afweer van de gastheer, stimuleert cytokinen en remt factoren die groei bevorderen. Ook remt het angiogenese en invasie.</w:t>
      </w:r>
    </w:p>
    <w:p>
      <w:pPr>
        <w:pStyle w:val="Heading5"/>
      </w:pPr>
      <w:r>
        <w:t>Proteasoomremmers</w:t>
      </w:r>
    </w:p>
    <w:p>
      <w:r>
        <w:t>Proteasoomremmers blokkeren het proteasoom. Het proteasoom is verantwoordelijk voor de afbraak van beschadigde, overbodige of fout gevouwen eiwitten in de cel. Als die afbraak wordt geremd, stapelen eiwitten zich op. Dat veroorzaakt stress in de cel en leidt uiteindelijk tot apoptose van de kankercel.</w:t>
      </w:r>
    </w:p>
    <w:p>
      <w:r>
        <w:t>De bekendste proteasoomremmer is bortezomib. Deze is reversibel. Carfilzomib is een irreversibele proteasoomremmer en kan sterker zijn in het blokkeren van de proteasoomactiviteit. Ixazomib is een ander voorbeeld.</w:t>
      </w:r>
    </w:p>
    <w:p>
      <w:pPr>
        <w:pStyle w:val="Heading5"/>
      </w:pPr>
      <w:r>
        <w:t>Monoklonale antistoffen</w:t>
      </w:r>
    </w:p>
    <w:p>
      <w:r>
        <w:t>Monoklonale antistoffen zijn gericht tegen een specifiek target. Ze hebben effecten op het immuunsysteem en op de tumormicro-omgeving.</w:t>
      </w:r>
    </w:p>
    <w:p>
      <w:r>
        <w:t>Belangrijke voorbeelden zijn:</w:t>
      </w:r>
    </w:p>
    <w:p>
      <w:pPr>
        <w:pStyle w:val="ListBullet"/>
      </w:pPr>
      <w:r>
        <w:t>daratumumab, gericht tegen CD38;</w:t>
      </w:r>
    </w:p>
    <w:p>
      <w:pPr>
        <w:pStyle w:val="ListBullet"/>
      </w:pPr>
      <w:r>
        <w:t>isatuximab, ook gericht tegen CD38;</w:t>
      </w:r>
    </w:p>
    <w:p>
      <w:pPr>
        <w:pStyle w:val="ListBullet"/>
      </w:pPr>
      <w:r>
        <w:t>elotuzumab, gericht tegen SLAMF7.</w:t>
      </w:r>
    </w:p>
    <w:p>
      <w:r>
        <w:t>Deze middelen kunnen myeloomcellen direct en indirect aanvallen. Daarbij spelen onder andere apoptose, complement-gemedieerde effecten, antilichaam-afhankelijke celgemedieerde cytotoxiciteit en antilichaam-afhankelijke fagocytose een rol.</w:t>
      </w:r>
    </w:p>
    <w:p>
      <w:pPr>
        <w:pStyle w:val="Heading5"/>
      </w:pPr>
      <w:r>
        <w:t>Bispecifieke antistoffen</w:t>
      </w:r>
    </w:p>
    <w:p>
      <w:r>
        <w:t>Bispecifieke antistoffen binden met de ene arm aan CD3 op de T-cel en met de andere arm aan een doelwit op de myeloomcel, zoals BCMA of GPRC5D. Daardoor wordt de T-cel direct naast de myeloomcel gebracht en kan deze de tumorcel doden.</w:t>
      </w:r>
    </w:p>
    <w:p>
      <w:r>
        <w:t>Voorbeelden zijn teclistamab en talquetamab. De T-cel wordt actief gemaakt, en vervolgens komen perforinen en granzymen vrij die de tumorcel vernietigen.</w:t>
      </w:r>
    </w:p>
    <w:p>
      <w:r>
        <w:rPr>
          <w:b/>
        </w:rPr>
        <w:t>Aandachtsvraag:</w:t>
      </w:r>
      <w:r>
        <w:t xml:space="preserve"> Waarom zijn bispecifieke antistoffen zo handig?  </w:t>
        <w:br/>
      </w:r>
      <w:r>
        <w:rPr>
          <w:b/>
        </w:rPr>
        <w:t>Kort antwoord:</w:t>
      </w:r>
      <w:r>
        <w:t xml:space="preserve"> Omdat ze een T-cel en een myeloomcel letterlijk bij elkaar brengen, zodat de T-cel de tumorcel kan doden.</w:t>
      </w:r>
    </w:p>
    <w:p>
      <w:pPr>
        <w:pStyle w:val="Heading5"/>
      </w:pPr>
      <w:r>
        <w:t>CAR-T-celtherapie</w:t>
      </w:r>
    </w:p>
    <w:p>
      <w:r>
        <w:t>Bij CAR-T-celtherapie worden T-cellen uit het bloed van de patiënt gehaald. In het laboratorium wordt daar een chimere antigeenreceptor, de CAR, ingebracht. Daarna worden de gemodificeerde T-cellen teruggegeven aan de patiënt.</w:t>
      </w:r>
    </w:p>
    <w:p>
      <w:r>
        <w:t>De CAR bestaat uit verschillende onderdelen:</w:t>
      </w:r>
    </w:p>
    <w:p>
      <w:pPr>
        <w:pStyle w:val="ListBullet"/>
      </w:pPr>
      <w:r>
        <w:t>een scFv-domein voor herkenning van het specifieke target;</w:t>
      </w:r>
    </w:p>
    <w:p>
      <w:pPr>
        <w:pStyle w:val="ListBullet"/>
      </w:pPr>
      <w:r>
        <w:t>een hinge-domein voor flexibiliteit en positionering;</w:t>
      </w:r>
    </w:p>
    <w:p>
      <w:pPr>
        <w:pStyle w:val="ListBullet"/>
      </w:pPr>
      <w:r>
        <w:t>een transmembraandomein voor stabiliteit;</w:t>
      </w:r>
    </w:p>
    <w:p>
      <w:pPr>
        <w:pStyle w:val="ListBullet"/>
      </w:pPr>
      <w:r>
        <w:t>een intracellulair domein voor activatie en expansie van de T-cel.</w:t>
      </w:r>
    </w:p>
    <w:p>
      <w:r>
        <w:t>Na terugplaatsing herkennen deze T-cellen de myeloomcellen en doden ze deze. Voor multipel myeloom zijn vooral BCMA en GPRC5D belangrijke nieuwe targets.</w:t>
      </w:r>
    </w:p>
    <w:p>
      <w:pPr>
        <w:pStyle w:val="Heading5"/>
      </w:pPr>
      <w:r>
        <w:t>Nieuwe targets: BCMA en GPRC5D</w:t>
      </w:r>
    </w:p>
    <w:p>
      <w:r>
        <w:t>BCMA is een antigeen voor ontwikkeling en rijping van B-cellen. Het komt tot expressie op plasmacellen en myeloomcellen. De expressie is hoger in myeloomcellen dan in normale plasmacellen en neemt toe naarmate MGUS overgaat in multipel myeloom.</w:t>
      </w:r>
    </w:p>
    <w:p>
      <w:r>
        <w:t>GPRC5D staat voor G protein-coupled receptor class C group 5 member D. Dit target heeft nauwelijks expressie op gezonde menselijke cellen, maar juist hoge expressie op myeloomcellen. Daardoor is het een aantrekkelijk doelwit voor antikankertherapie.</w:t>
      </w:r>
    </w:p>
    <w:p>
      <w:pPr>
        <w:pStyle w:val="Heading5"/>
      </w:pPr>
      <w:r>
        <w:t>Andere nieuwe middelen</w:t>
      </w:r>
    </w:p>
    <w:p>
      <w:r>
        <w:t>Selinexor remt de export van tumorsuppressoren uit de kern. Daardoor blijven deze eiwitten in de kern en kunnen ze hun effect blijven uitoefenen. Het middel heeft effect op multipel myeloom, vooral bij hoog-risicopatiënten, maar geeft ook ernstige bijwerkingen zoals anorexie en zeer ernstige moeheid.</w:t>
      </w:r>
    </w:p>
    <w:p>
      <w:r>
        <w:t>Venetoclax is een Bcl2-remmer. Myeloomplasmacellen met t(11;14) zijn sterk afhankelijk van het anti-apoptotische Bcl2-eiwit. Venetoclax zorgt ervoor dat deze myeloomplasmacellen alsnog in apoptose gaan.</w:t>
      </w:r>
    </w:p>
    <w:p>
      <w:pPr>
        <w:pStyle w:val="Heading4"/>
      </w:pPr>
      <w:r>
        <w:t>Eerste lijn en vervolgbehandeling</w:t>
      </w:r>
    </w:p>
    <w:p>
      <w:r>
        <w:t>De behandeling van multipel myeloom is een combinatie van middelen en bestaat vaak uit meerdere lijnen. Bij terugkeer van de ziekte wordt steeds opnieuw gekeken naar de beste volgende stap.</w:t>
      </w:r>
    </w:p>
    <w:p>
      <w:pPr>
        <w:pStyle w:val="Heading5"/>
      </w:pPr>
      <w:r>
        <w:t>Behandelprincipes bij terugkeer van de ziekte</w:t>
      </w:r>
    </w:p>
    <w:p>
      <w:r>
        <w:t>Bij het kiezen van een volgende behandeling spelen verschillende factoren mee:</w:t>
      </w:r>
    </w:p>
    <w:p>
      <w:pPr>
        <w:pStyle w:val="ListNumber"/>
      </w:pPr>
      <w:r>
        <w:t>hoe lang de ziekte onder controle is geweest;</w:t>
      </w:r>
    </w:p>
    <w:p>
      <w:pPr>
        <w:pStyle w:val="ListNumber"/>
      </w:pPr>
      <w:r>
        <w:t>hoe goed de patiënt de vorige behandeling heeft verdragen;</w:t>
      </w:r>
    </w:p>
    <w:p>
      <w:pPr>
        <w:pStyle w:val="ListNumber"/>
      </w:pPr>
      <w:r>
        <w:t>wat de patiënt zelf wil;</w:t>
      </w:r>
    </w:p>
    <w:p>
      <w:pPr>
        <w:pStyle w:val="ListNumber"/>
      </w:pPr>
      <w:r>
        <w:t>of er studies open zijn.</w:t>
      </w:r>
    </w:p>
    <w:p>
      <w:r>
        <w:t>Als de ziekte lang onder controle is geweest, kan dezelfde behandeling soms herhaald worden. Is het interval kort, dan wordt eerder geswitcht naar een ander middel. Neuropathie kan een contra-indicatie zijn voor sommige middelen. Soms is het ook geoorloofd om nog even te wachten met behandelen. Daarnaast speelt mee of behandeling poliklinisch of klinisch gebeurt.</w:t>
      </w:r>
    </w:p>
    <w:p>
      <w:pPr>
        <w:pStyle w:val="Heading5"/>
      </w:pPr>
      <w:r>
        <w:t>Eerstelijnsbehandeling</w:t>
      </w:r>
    </w:p>
    <w:p>
      <w:r>
        <w:t>Bij patiënten tot en met 70 jaar die fit zijn, bestaat de eerste lijn uit D-VRd: daratumumab, bortezomib, lenalidomide en dexamethason. Vaak volgt daarna hooggedoseerd melfalan met autologe stamceltransplantatie, daarna consolidatie en vervolgens onderhoud met lenalidomide. Deze aanpak geeft een verwachte mediane PFS van ongeveer 8–9 jaar en is sinds 2023 standaardzorg voor transplantabele patiënten.</w:t>
      </w:r>
    </w:p>
    <w:p>
      <w:r>
        <w:t>Bij patiënten ouder dan 70 jaar of niet fit, wordt vaak DRd gegeven: daratumumab, lenalidomide en dexamethason, doorgaans tot progressie. Deze behandeling laat betere progressievrije overleving en betere overall survival zien dan Rd alleen.</w:t>
      </w:r>
    </w:p>
    <w:p>
      <w:pPr>
        <w:pStyle w:val="Heading4"/>
      </w:pPr>
      <w:r>
        <w:t>Waarom ontstaat resistentie?</w:t>
      </w:r>
    </w:p>
    <w:p>
      <w:r>
        <w:t>Niet elke behandeling blijft blijvend werken. Er zijn verschillende redenen waarom therapie na een tijd minder effect heeft.</w:t>
      </w:r>
    </w:p>
    <w:p>
      <w:r>
        <w:rPr>
          <w:b/>
        </w:rPr>
        <w:t>Tabel 7. Oorzaken van therapieresistentie</w:t>
      </w:r>
    </w:p>
    <w:tbl>
      <w:tblPr>
        <w:tblStyle w:val="TableGrid"/>
        <w:tblW w:type="auto" w:w="0"/>
        <w:tblLook w:firstColumn="1" w:firstRow="1" w:lastColumn="0" w:lastRow="0" w:noHBand="0" w:noVBand="1" w:val="04A0"/>
      </w:tblPr>
      <w:tblGrid>
        <w:gridCol w:w="4320"/>
        <w:gridCol w:w="4320"/>
      </w:tblGrid>
      <w:tr>
        <w:tc>
          <w:tcPr>
            <w:tcW w:type="dxa" w:w="4320"/>
          </w:tcPr>
          <w:p>
            <w:r>
              <w:t>Oorzaak</w:t>
            </w:r>
          </w:p>
        </w:tc>
        <w:tc>
          <w:tcPr>
            <w:tcW w:type="dxa" w:w="4320"/>
          </w:tcPr>
          <w:p>
            <w:r>
              <w:t>Uitleg</w:t>
            </w:r>
          </w:p>
        </w:tc>
      </w:tr>
      <w:tr>
        <w:tc>
          <w:tcPr>
            <w:tcW w:type="dxa" w:w="4320"/>
          </w:tcPr>
          <w:p>
            <w:r>
              <w:t>Genetische mutaties</w:t>
            </w:r>
          </w:p>
        </w:tc>
        <w:tc>
          <w:tcPr>
            <w:tcW w:type="dxa" w:w="4320"/>
          </w:tcPr>
          <w:p>
            <w:r>
              <w:t>de myeloomcel verandert en wordt resistent tegen medicijnen</w:t>
            </w:r>
          </w:p>
        </w:tc>
      </w:tr>
      <w:tr>
        <w:tc>
          <w:tcPr>
            <w:tcW w:type="dxa" w:w="4320"/>
          </w:tcPr>
          <w:p>
            <w:r>
              <w:t>Tumorheterogeniteit</w:t>
            </w:r>
          </w:p>
        </w:tc>
        <w:tc>
          <w:tcPr>
            <w:tcW w:type="dxa" w:w="4320"/>
          </w:tcPr>
          <w:p>
            <w:r>
              <w:t>verschillende subklonen reageren verschillend op behandeling</w:t>
            </w:r>
          </w:p>
        </w:tc>
      </w:tr>
      <w:tr>
        <w:tc>
          <w:tcPr>
            <w:tcW w:type="dxa" w:w="4320"/>
          </w:tcPr>
          <w:p>
            <w:r>
              <w:t>Micro-omgevingsfactoren</w:t>
            </w:r>
          </w:p>
        </w:tc>
        <w:tc>
          <w:tcPr>
            <w:tcW w:type="dxa" w:w="4320"/>
          </w:tcPr>
          <w:p>
            <w:r>
              <w:t>cytokinen en omgevingseffecten kunnen therapie afzwakken</w:t>
            </w:r>
          </w:p>
        </w:tc>
      </w:tr>
      <w:tr>
        <w:tc>
          <w:tcPr>
            <w:tcW w:type="dxa" w:w="4320"/>
          </w:tcPr>
          <w:p>
            <w:r>
              <w:t>Aanpassingsmechanismen van de cel</w:t>
            </w:r>
          </w:p>
        </w:tc>
        <w:tc>
          <w:tcPr>
            <w:tcW w:type="dxa" w:w="4320"/>
          </w:tcPr>
          <w:p>
            <w:r>
              <w:t>de cel verandert zijn biologische processen om te overleven</w:t>
            </w:r>
          </w:p>
        </w:tc>
      </w:tr>
    </w:tbl>
    <w:p>
      <w:r>
        <w:t>Een belangrijk voorbeeld is verlies van de bindingsplaats voor CD38, waardoor daratumumab niet meer werkt. Door combinatiebehandeling probeer je zulke resistentie zo veel mogelijk tegen te gaan.</w:t>
      </w:r>
    </w:p>
    <w:p>
      <w:pPr>
        <w:pStyle w:val="Heading4"/>
      </w:pPr>
      <w:r>
        <w:t>Samenvatting</w:t>
      </w:r>
    </w:p>
    <w:p>
      <w:r>
        <w:t>Multipel myeloom is een kwaadaardige woekering van plasmacellen in het beenmerg. De ziekte geeft typisch botletsels, anemie, nierproblemen en hypercalciëmie, vaak samengevat als CRAB of ROTI. Voor de diagnose en indeling zijn MGUS, SMM en MM belangrijk, samen met myeloma defining events zoals een vrije lichteketenratio ≥100, plasmacellen ≥60% of meer dan één focale laesie op MRI.</w:t>
      </w:r>
    </w:p>
    <w:p>
      <w:r>
        <w:t>De behandeling bestaat uit een combinatie van meerdere groepen middelen: chemotherapie, IMiDs, proteasoomremmers, monoklonale antistoffen, bispecifieke antistoffen, CAR-T-cellen en andere targeted therapieën. Nieuwe behandelingen richten zich steeds preciezer op targets zoals CD38, BCMA en GPRC5D. Bij terugkeer van de ziekte spelen duur van respons, verdraagbaarheid, voorkeur van de patiënt en beschikbare studies een rol in de keuze voor de volgende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