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59 – Transplantatiegeneeskunde</w:t>
      </w:r>
    </w:p>
    <w:p>
      <w:pPr>
        <w:pStyle w:val="Heading4"/>
      </w:pPr>
      <w:r>
        <w:t>Leerdoelen</w:t>
      </w:r>
    </w:p>
    <w:p>
      <w:r>
        <w:t>Na het bestuderen van deze stof kun je:</w:t>
      </w:r>
    </w:p>
    <w:p>
      <w:pPr>
        <w:pStyle w:val="ListBullet"/>
      </w:pPr>
      <w:r>
        <w:t>uitleggen wat de indicaties en contra-indicaties voor orgaantransplantaties zijn</w:t>
      </w:r>
    </w:p>
    <w:p>
      <w:pPr>
        <w:pStyle w:val="ListBullet"/>
      </w:pPr>
      <w:r>
        <w:t>beschrijven met welke factoren rekening gehouden wordt bij het zoeken van een donor</w:t>
      </w:r>
    </w:p>
    <w:p>
      <w:pPr>
        <w:pStyle w:val="ListBullet"/>
      </w:pPr>
      <w:r>
        <w:t>de epidemiologie van transplantaties van verschillende organen in Nederland beschrijven</w:t>
      </w:r>
    </w:p>
    <w:p>
      <w:pPr>
        <w:pStyle w:val="ListBullet"/>
      </w:pPr>
      <w:r>
        <w:t>uitleggen hoe rejectie van een transplantaat werkt en hoe dit voorkomen wordt</w:t>
      </w:r>
    </w:p>
    <w:p>
      <w:pPr>
        <w:pStyle w:val="ListBullet"/>
      </w:pPr>
      <w:r>
        <w:t>uitleggen welke bijwerkingen op korte en lange termijn verbonden zijn aan orgaantransplantaties</w:t>
      </w:r>
    </w:p>
    <w:p>
      <w:pPr>
        <w:pStyle w:val="Heading4"/>
      </w:pPr>
      <w:r>
        <w:t>Inleiding tot transplantatiegeneeskunde</w:t>
      </w:r>
    </w:p>
    <w:p>
      <w:r>
        <w:t xml:space="preserve">Orgaantransplantatie is bedoeld voor patiënten met </w:t>
      </w:r>
      <w:r>
        <w:rPr>
          <w:b/>
        </w:rPr>
        <w:t>onomkeerbaar orgaanfalen</w:t>
      </w:r>
      <w:r>
        <w:t>. Het idee van transplantatie bestaat al heel lang: de eerste gedocumenteerde transplantatie stamt uit de tweede eeuw na Christus, en de eerste echt succesvolle niertransplantatie vond plaats op 24 december 1954 in Boston. Daarbij kreeg een patiënt met IgA-nefropathie een nier van zijn broer en leefde hij daarna nog jaren zonder afweeronderdrukkende medicatie. Dat was een belangrijke doorbraak.</w:t>
      </w:r>
    </w:p>
    <w:p>
      <w:r>
        <w:t xml:space="preserve">In Nederland worden orgaantransplantaties al sinds de jaren zestig gedaan. Dat gebeurt in de zeven academische ziekenhuizen. In 2023 ging het om </w:t>
      </w:r>
      <w:r>
        <w:rPr>
          <w:b/>
        </w:rPr>
        <w:t>1429 transplantaties</w:t>
      </w:r>
      <w:r>
        <w:t xml:space="preserve">. Sommige centra, zoals het Erasmus MC, transplanteren meerdere organen. Binnen Eurotransplant werken acht landen samen. Duitsland is daarin het grootste land, zowel qua donors als ontvangers. In de regio wonen ruim 138 miljoen mensen; in 2024 werden daar 7150 organen van overleden donoren getransplanteerd, terwijl de wachtlijst nog altijd ruim 13.500 mensen bedroeg. Bij niertransplantatie, en in mindere mate bij levertransplantatie, kan ook een </w:t>
      </w:r>
      <w:r>
        <w:rPr>
          <w:b/>
        </w:rPr>
        <w:t>levende donor</w:t>
      </w:r>
      <w:r>
        <w:t xml:space="preserve"> worden ingezet. Bij levertransplantatie gaat het dan om een leverkwab.</w:t>
      </w:r>
    </w:p>
    <w:p>
      <w:pPr>
        <w:pStyle w:val="Heading5"/>
      </w:pPr>
      <w:r>
        <w:t>Aandacht-vragetje</w:t>
      </w:r>
    </w:p>
    <w:p>
      <w:r>
        <w:rPr>
          <w:b/>
        </w:rPr>
        <w:t>Waarom is transplantatie soms toch zinvol, ondanks de risico’s?</w:t>
      </w:r>
      <w:r>
        <w:t xml:space="preserve">  </w:t>
        <w:br/>
        <w:t>Omdat het voor patiënten met onherstelbaar orgaanfalen vaak de enige behandeling is die de overleving en kwaliteit van leven duidelijk kan verbeteren.</w:t>
      </w:r>
    </w:p>
    <w:p>
      <w:pPr>
        <w:pStyle w:val="Heading4"/>
      </w:pPr>
      <w:r>
        <w:t>Indicaties voor orgaantransplantatie</w:t>
      </w:r>
    </w:p>
    <w:p>
      <w:r>
        <w:t xml:space="preserve">De belangrijkste indicatie is dus </w:t>
      </w:r>
      <w:r>
        <w:rPr>
          <w:b/>
        </w:rPr>
        <w:t>onomkeerbaar orgaanfalen</w:t>
      </w:r>
      <w:r>
        <w:t>. Welke ziekte daar precies achter zit, verschilt per orgaan.</w:t>
      </w:r>
    </w:p>
    <w:p>
      <w:r>
        <w:rPr>
          <w:b/>
        </w:rPr>
        <w:t>Tabel 1. Veelvoorkomende indicaties per orgaan</w:t>
      </w:r>
    </w:p>
    <w:tbl>
      <w:tblPr>
        <w:tblStyle w:val="TableGrid"/>
        <w:tblW w:type="auto" w:w="0"/>
        <w:tblLook w:firstColumn="1" w:firstRow="1" w:lastColumn="0" w:lastRow="0" w:noHBand="0" w:noVBand="1" w:val="04A0"/>
      </w:tblPr>
      <w:tblGrid>
        <w:gridCol w:w="4320"/>
        <w:gridCol w:w="4320"/>
      </w:tblGrid>
      <w:tr>
        <w:tc>
          <w:tcPr>
            <w:tcW w:type="dxa" w:w="4320"/>
          </w:tcPr>
          <w:p>
            <w:r>
              <w:t>Orgaan</w:t>
            </w:r>
          </w:p>
        </w:tc>
        <w:tc>
          <w:tcPr>
            <w:tcW w:type="dxa" w:w="4320"/>
          </w:tcPr>
          <w:p>
            <w:r>
              <w:t>Voorbeelden van indicaties</w:t>
            </w:r>
          </w:p>
        </w:tc>
      </w:tr>
      <w:tr>
        <w:tc>
          <w:tcPr>
            <w:tcW w:type="dxa" w:w="4320"/>
          </w:tcPr>
          <w:p>
            <w:r>
              <w:t>Nier</w:t>
            </w:r>
          </w:p>
        </w:tc>
        <w:tc>
          <w:tcPr>
            <w:tcW w:type="dxa" w:w="4320"/>
          </w:tcPr>
          <w:p>
            <w:r>
              <w:t>Diabetes mellitus type 2, atherosclerose, cystenieren, IgA-nefropathie</w:t>
            </w:r>
          </w:p>
        </w:tc>
      </w:tr>
      <w:tr>
        <w:tc>
          <w:tcPr>
            <w:tcW w:type="dxa" w:w="4320"/>
          </w:tcPr>
          <w:p>
            <w:r>
              <w:t>Lever</w:t>
            </w:r>
          </w:p>
        </w:tc>
        <w:tc>
          <w:tcPr>
            <w:tcW w:type="dxa" w:w="4320"/>
          </w:tcPr>
          <w:p>
            <w:r>
              <w:t>Hepatocellulair carcinoom, auto-immuun leverziekten (PSC/PBC/auto-immuun hepatitis), alcoholische levercirrose, acuut leverfalen</w:t>
            </w:r>
          </w:p>
        </w:tc>
      </w:tr>
      <w:tr>
        <w:tc>
          <w:tcPr>
            <w:tcW w:type="dxa" w:w="4320"/>
          </w:tcPr>
          <w:p>
            <w:r>
              <w:t>Hart</w:t>
            </w:r>
          </w:p>
        </w:tc>
        <w:tc>
          <w:tcPr>
            <w:tcW w:type="dxa" w:w="4320"/>
          </w:tcPr>
          <w:p>
            <w:r>
              <w:t>Hartinfarct, hypertensie, cardiomyopathie, kleplijden</w:t>
            </w:r>
          </w:p>
        </w:tc>
      </w:tr>
      <w:tr>
        <w:tc>
          <w:tcPr>
            <w:tcW w:type="dxa" w:w="4320"/>
          </w:tcPr>
          <w:p>
            <w:r>
              <w:t>Long</w:t>
            </w:r>
          </w:p>
        </w:tc>
        <w:tc>
          <w:tcPr>
            <w:tcW w:type="dxa" w:w="4320"/>
          </w:tcPr>
          <w:p>
            <w:r>
              <w:t>Interstitiële longziekte, COPD, cystic fibrosis, pulmonale arteriële hypertensie</w:t>
            </w:r>
          </w:p>
        </w:tc>
      </w:tr>
    </w:tbl>
    <w:p>
      <w:r>
        <w:t>De redenen voor orgaanfalen zijn niet stabiel door de tijd. Zo zijn er minder mensen met diabetes mellitus type 1 die nierfalen ontwikkelen, neemt leververvetting en obesitas toe, en is het aantal patiënten met cystic fibrosis dat longfalen ontwikkelt juist sterk gedaald door goede behandeling.</w:t>
      </w:r>
    </w:p>
    <w:p>
      <w:pPr>
        <w:pStyle w:val="Heading4"/>
      </w:pPr>
      <w:r>
        <w:t>Contra-indicaties voor orgaantransplantatie</w:t>
      </w:r>
    </w:p>
    <w:p>
      <w:r>
        <w:t xml:space="preserve">Ook contra-indicaties verschillen per orgaan en per centrum. Je moet daarbij steeds bedenken dat een transplantatie gepaard gaat met een grote operatie en daarna met </w:t>
      </w:r>
      <w:r>
        <w:rPr>
          <w:b/>
        </w:rPr>
        <w:t>levenslang gebruik van immuunsuppressiva</w:t>
      </w:r>
      <w:r>
        <w:t>.</w:t>
      </w:r>
    </w:p>
    <w:p>
      <w:r>
        <w:rPr>
          <w:b/>
        </w:rPr>
        <w:t>Tabel 2. Belangrijke contra-indicaties</w:t>
      </w:r>
    </w:p>
    <w:tbl>
      <w:tblPr>
        <w:tblStyle w:val="TableGrid"/>
        <w:tblW w:type="auto" w:w="0"/>
        <w:tblLook w:firstColumn="1" w:firstRow="1" w:lastColumn="0" w:lastRow="0" w:noHBand="0" w:noVBand="1" w:val="04A0"/>
      </w:tblPr>
      <w:tblGrid>
        <w:gridCol w:w="4320"/>
        <w:gridCol w:w="4320"/>
      </w:tblGrid>
      <w:tr>
        <w:tc>
          <w:tcPr>
            <w:tcW w:type="dxa" w:w="4320"/>
          </w:tcPr>
          <w:p>
            <w:r>
              <w:t>Algemeen of orgaanspecifiek</w:t>
            </w:r>
          </w:p>
        </w:tc>
        <w:tc>
          <w:tcPr>
            <w:tcW w:type="dxa" w:w="4320"/>
          </w:tcPr>
          <w:p>
            <w:r>
              <w:t>Voorbeelden</w:t>
            </w:r>
          </w:p>
        </w:tc>
      </w:tr>
      <w:tr>
        <w:tc>
          <w:tcPr>
            <w:tcW w:type="dxa" w:w="4320"/>
          </w:tcPr>
          <w:p>
            <w:r>
              <w:t>Algemeen voor alle organen</w:t>
            </w:r>
          </w:p>
        </w:tc>
        <w:tc>
          <w:tcPr>
            <w:tcW w:type="dxa" w:w="4320"/>
          </w:tcPr>
          <w:p>
            <w:r>
              <w:t>Actieve ernstige infecties, uitgezaaide kanker, ernstige verslaving / psychiatrische ziekte</w:t>
            </w:r>
          </w:p>
        </w:tc>
      </w:tr>
      <w:tr>
        <w:tc>
          <w:tcPr>
            <w:tcW w:type="dxa" w:w="4320"/>
          </w:tcPr>
          <w:p>
            <w:r>
              <w:t>Nier</w:t>
            </w:r>
          </w:p>
        </w:tc>
        <w:tc>
          <w:tcPr>
            <w:tcW w:type="dxa" w:w="4320"/>
          </w:tcPr>
          <w:p>
            <w:r>
              <w:t>Ernstige vaatverkalking</w:t>
            </w:r>
          </w:p>
        </w:tc>
      </w:tr>
      <w:tr>
        <w:tc>
          <w:tcPr>
            <w:tcW w:type="dxa" w:w="4320"/>
          </w:tcPr>
          <w:p>
            <w:r>
              <w:t>Lever</w:t>
            </w:r>
          </w:p>
        </w:tc>
        <w:tc>
          <w:tcPr>
            <w:tcW w:type="dxa" w:w="4320"/>
          </w:tcPr>
          <w:p>
            <w:r>
              <w:t>Actief alcoholgebruik, ernstige CVA-/bloedingsproblematiek, hartfalen / longfalen</w:t>
            </w:r>
          </w:p>
        </w:tc>
      </w:tr>
      <w:tr>
        <w:tc>
          <w:tcPr>
            <w:tcW w:type="dxa" w:w="4320"/>
          </w:tcPr>
          <w:p>
            <w:r>
              <w:t>Hart</w:t>
            </w:r>
          </w:p>
        </w:tc>
        <w:tc>
          <w:tcPr>
            <w:tcW w:type="dxa" w:w="4320"/>
          </w:tcPr>
          <w:p>
            <w:r>
              <w:t>Falen van een ander orgaan, perifeer vaatlijden</w:t>
            </w:r>
          </w:p>
        </w:tc>
      </w:tr>
      <w:tr>
        <w:tc>
          <w:tcPr>
            <w:tcW w:type="dxa" w:w="4320"/>
          </w:tcPr>
          <w:p>
            <w:r>
              <w:t>Long</w:t>
            </w:r>
          </w:p>
        </w:tc>
        <w:tc>
          <w:tcPr>
            <w:tcW w:type="dxa" w:w="4320"/>
          </w:tcPr>
          <w:p>
            <w:r>
              <w:t>Roken, ook passief, obesitas, perifeer vaatlijden</w:t>
            </w:r>
          </w:p>
        </w:tc>
      </w:tr>
    </w:tbl>
    <w:p>
      <w:r>
        <w:t xml:space="preserve">Leeftijd is meestal een </w:t>
      </w:r>
      <w:r>
        <w:rPr>
          <w:b/>
        </w:rPr>
        <w:t>relatieve</w:t>
      </w:r>
      <w:r>
        <w:t xml:space="preserve"> contra-indicatie. Daarbij telt vooral de </w:t>
      </w:r>
      <w:r>
        <w:rPr>
          <w:b/>
        </w:rPr>
        <w:t>biologische leeftijd</w:t>
      </w:r>
      <w:r>
        <w:t xml:space="preserve"> en niet alleen de kalenderleeftijd. Ook andere patiëntkenmerken spelen mee. Bij long- en harttransplantatie zijn lichaamslengte en gewicht belangrijker dan bij niertransplantatie. Obesitas, met name een BMI boven 30 kg/m², is vooral bij longtransplantatie een probleem vanwege meer perioperatieve complicaties en slechtere lange-termijnuitkomsten. Bij niertransplantatie is het vooral een probleem als buikvet mobilisatie van het vet belemmert.</w:t>
      </w:r>
    </w:p>
    <w:p>
      <w:pPr>
        <w:pStyle w:val="Heading5"/>
      </w:pPr>
      <w:r>
        <w:t>Aandacht-vragetje</w:t>
      </w:r>
    </w:p>
    <w:p>
      <w:r>
        <w:rPr>
          <w:b/>
        </w:rPr>
        <w:t>Is er altijd één vaste lijst met absolute contra-indicaties?</w:t>
      </w:r>
      <w:r>
        <w:t xml:space="preserve">  </w:t>
        <w:br/>
        <w:t>Nee. Er zijn algemene principes, maar de precieze afweging verschilt per orgaan en per centrum.</w:t>
      </w:r>
    </w:p>
    <w:p>
      <w:pPr>
        <w:pStyle w:val="Heading4"/>
      </w:pPr>
      <w:r>
        <w:t>Geschikte donoren en donorselectie</w:t>
      </w:r>
    </w:p>
    <w:p>
      <w:r>
        <w:t>Bij het zoeken naar een donor zijn er meerdere vragen belangrijk. Het gaat niet alleen om medische geschiktheid, maar ook om geschiktheid van het donororgaan zelf.</w:t>
      </w:r>
    </w:p>
    <w:p>
      <w:pPr>
        <w:pStyle w:val="Heading5"/>
      </w:pPr>
      <w:r>
        <w:t>Overleden donoren: DBD en DCD</w:t>
      </w:r>
    </w:p>
    <w:p>
      <w:r>
        <w:t>Er zijn twee hoofdvormen van postmortale donatie:</w:t>
      </w:r>
    </w:p>
    <w:p>
      <w:pPr>
        <w:pStyle w:val="ListBullet"/>
      </w:pPr>
      <w:r>
        <w:rPr>
          <w:b/>
        </w:rPr>
        <w:t>DBD</w:t>
      </w:r>
      <w:r>
        <w:t>: donation after brain death, donatie na hersendood</w:t>
      </w:r>
    </w:p>
    <w:p>
      <w:pPr>
        <w:pStyle w:val="ListBullet"/>
      </w:pPr>
      <w:r>
        <w:rPr>
          <w:b/>
        </w:rPr>
        <w:t>DCD</w:t>
      </w:r>
      <w:r>
        <w:t>: donation after circulatory death, donatie na circulatiestilstand</w:t>
      </w:r>
    </w:p>
    <w:p>
      <w:r>
        <w:t xml:space="preserve">Bij </w:t>
      </w:r>
      <w:r>
        <w:rPr>
          <w:b/>
        </w:rPr>
        <w:t>DBD</w:t>
      </w:r>
      <w:r>
        <w:t xml:space="preserve"> is sprake van onherstelbaar uitgevallen hersenfunctie, terwijl hart en longen tijdelijk door ondersteuning nog kunnen functioneren. Bij </w:t>
      </w:r>
      <w:r>
        <w:rPr>
          <w:b/>
        </w:rPr>
        <w:t>DCD</w:t>
      </w:r>
      <w:r>
        <w:t xml:space="preserve"> zijn de hersenfuncties niet allemaal onherstelbaar uitgevallen, maar stopt de behandeling en volgt uiteindelijk circulatiestilstand. Om als donor geschikt te zijn, moet het overlijden gecontroleerd plaatsvinden, meestal in het ziekenhuis.</w:t>
      </w:r>
    </w:p>
    <w:p>
      <w:r>
        <w:rPr>
          <w:b/>
        </w:rPr>
        <w:t>Tabel 3. DBD en DCD naast elkaar</w:t>
      </w:r>
    </w:p>
    <w:tbl>
      <w:tblPr>
        <w:tblStyle w:val="TableGrid"/>
        <w:tblW w:type="auto" w:w="0"/>
        <w:tblLook w:firstColumn="1" w:firstRow="1" w:lastColumn="0" w:lastRow="0" w:noHBand="0" w:noVBand="1" w:val="04A0"/>
      </w:tblPr>
      <w:tblGrid>
        <w:gridCol w:w="2880"/>
        <w:gridCol w:w="2880"/>
        <w:gridCol w:w="2880"/>
      </w:tblGrid>
      <w:tr>
        <w:tc>
          <w:tcPr>
            <w:tcW w:type="dxa" w:w="2880"/>
          </w:tcPr>
          <w:p>
            <w:r>
              <w:t>DBD</w:t>
            </w:r>
          </w:p>
        </w:tc>
        <w:tc>
          <w:tcPr>
            <w:tcW w:type="dxa" w:w="2880"/>
          </w:tcPr>
          <w:p>
            <w:r>
              <w:t>DCD</w:t>
            </w:r>
          </w:p>
        </w:tc>
        <w:tc>
          <w:tcPr>
            <w:tcW w:type="dxa" w:w="2880"/>
          </w:tcPr>
          <w:p>
            <w:r/>
          </w:p>
        </w:tc>
      </w:tr>
      <w:tr>
        <w:tc>
          <w:tcPr>
            <w:tcW w:type="dxa" w:w="2880"/>
          </w:tcPr>
          <w:p>
            <w:r>
              <w:t>Voordeel</w:t>
            </w:r>
          </w:p>
        </w:tc>
        <w:tc>
          <w:tcPr>
            <w:tcW w:type="dxa" w:w="2880"/>
          </w:tcPr>
          <w:p>
            <w:r>
              <w:t>Optimale orgaanbehoud door afwezigheid van hypotensie/hypoxie</w:t>
            </w:r>
          </w:p>
        </w:tc>
        <w:tc>
          <w:tcPr>
            <w:tcW w:type="dxa" w:w="2880"/>
          </w:tcPr>
          <w:p>
            <w:r>
              <w:t>Vergroot de donorpool omdat meer mensen in aanmerking komen</w:t>
            </w:r>
          </w:p>
        </w:tc>
      </w:tr>
      <w:tr>
        <w:tc>
          <w:tcPr>
            <w:tcW w:type="dxa" w:w="2880"/>
          </w:tcPr>
          <w:p>
            <w:r>
              <w:t>Nadeel</w:t>
            </w:r>
          </w:p>
        </w:tc>
        <w:tc>
          <w:tcPr>
            <w:tcW w:type="dxa" w:w="2880"/>
          </w:tcPr>
          <w:p>
            <w:r>
              <w:t>Tijdens hersendood kunnen pro-inflammatoire processen ontstaan en orgaanschade geven</w:t>
            </w:r>
          </w:p>
        </w:tc>
        <w:tc>
          <w:tcPr>
            <w:tcW w:type="dxa" w:w="2880"/>
          </w:tcPr>
          <w:p>
            <w:r>
              <w:t>Ischemie is het grootste probleem; dit kan leiden tot schade en slechtere orgaanfunctie</w:t>
            </w:r>
          </w:p>
        </w:tc>
      </w:tr>
      <w:tr>
        <w:tc>
          <w:tcPr>
            <w:tcW w:type="dxa" w:w="2880"/>
          </w:tcPr>
          <w:p>
            <w:r>
              <w:t>Beleving voor familie</w:t>
            </w:r>
          </w:p>
        </w:tc>
        <w:tc>
          <w:tcPr>
            <w:tcW w:type="dxa" w:w="2880"/>
          </w:tcPr>
          <w:p>
            <w:r>
              <w:t>Afscheid van een nog levend ogende persoon</w:t>
            </w:r>
          </w:p>
        </w:tc>
        <w:tc>
          <w:tcPr>
            <w:tcW w:type="dxa" w:w="2880"/>
          </w:tcPr>
          <w:p>
            <w:r>
              <w:t>Familie is aanwezig bij het stoppen van ademhaling en hartfunctie</w:t>
            </w:r>
          </w:p>
        </w:tc>
      </w:tr>
    </w:tbl>
    <w:p>
      <w:r>
        <w:t xml:space="preserve">In Nederland is er daarnaast nog een speciale categorie: </w:t>
      </w:r>
      <w:r>
        <w:rPr>
          <w:b/>
        </w:rPr>
        <w:t>donatie na euthanasie</w:t>
      </w:r>
      <w:r>
        <w:t>. Daarvoor gelden strikte wettelijke regels en de euthanasie moet in het ziekenhuis plaatsvinden. Het gaat dan altijd om een DCD-procedure. Jaarlijks zijn er ongeveer 20-30 van zulke donoren, op een totaal van ongeveer 350 orgaandonoren.</w:t>
      </w:r>
    </w:p>
    <w:p>
      <w:pPr>
        <w:pStyle w:val="Heading5"/>
      </w:pPr>
      <w:r>
        <w:t>Levende donoren</w:t>
      </w:r>
    </w:p>
    <w:p>
      <w:r>
        <w:t xml:space="preserve">Naast overleden donoren kunnen mensen ook bij leven een orgaan afstaan. Dat kan voor </w:t>
      </w:r>
      <w:r>
        <w:rPr>
          <w:b/>
        </w:rPr>
        <w:t>niertransplantatie</w:t>
      </w:r>
      <w:r>
        <w:t xml:space="preserve"> en </w:t>
      </w:r>
      <w:r>
        <w:rPr>
          <w:b/>
        </w:rPr>
        <w:t>levertransplantatie</w:t>
      </w:r>
      <w:r>
        <w:t>, maar niet voor long- of harttransplantatie. Bij levende donatie staat de gezondheid van de donor altijd voorop. Daarom moet op twee cruciale vragen een goed antwoord komen:</w:t>
      </w:r>
    </w:p>
    <w:p>
      <w:pPr>
        <w:pStyle w:val="ListNumber"/>
      </w:pPr>
      <w:r>
        <w:t>Kan deze persoon de operatie veilig doorstaan?</w:t>
      </w:r>
    </w:p>
    <w:p>
      <w:pPr>
        <w:pStyle w:val="ListNumber"/>
      </w:pPr>
      <w:r>
        <w:t>Kan deze persoon veilig leven met één nier of met een deel van de lever?</w:t>
      </w:r>
    </w:p>
    <w:p>
      <w:r>
        <w:t>Daarbij wordt ook gekeken naar anatomische varianten. Als iemand bijvoorbeeld vier nierslagaders heeft, kan donatie technisch wel mogelijk zijn, maar de kans op verlies van het orgaan in de ontvanger is groter doordat er vier anastomosen nodig zijn en die kunnen sneuvelen. Donorvoorbereiding is dus echt ingewikkeld.</w:t>
      </w:r>
    </w:p>
    <w:p>
      <w:pPr>
        <w:pStyle w:val="Heading5"/>
      </w:pPr>
      <w:r>
        <w:t>Waarom is levende donatie aantrekkelijk?</w:t>
      </w:r>
    </w:p>
    <w:p>
      <w:r>
        <w:t>Levende donatie heeft meerdere voordelen:</w:t>
      </w:r>
    </w:p>
    <w:p>
      <w:pPr>
        <w:pStyle w:val="ListBullet"/>
      </w:pPr>
      <w:r>
        <w:t>de planning is beter</w:t>
      </w:r>
    </w:p>
    <w:p>
      <w:pPr>
        <w:pStyle w:val="ListBullet"/>
      </w:pPr>
      <w:r>
        <w:t>de orgaankwaliteit is vaak beter</w:t>
      </w:r>
    </w:p>
    <w:p>
      <w:pPr>
        <w:pStyle w:val="ListBullet"/>
      </w:pPr>
      <w:r>
        <w:t>de transplantaatoverleving is beter</w:t>
      </w:r>
    </w:p>
    <w:p>
      <w:pPr>
        <w:pStyle w:val="ListBullet"/>
      </w:pPr>
      <w:r>
        <w:t>de ischemietijd is korter</w:t>
      </w:r>
    </w:p>
    <w:p>
      <w:pPr>
        <w:pStyle w:val="Heading4"/>
      </w:pPr>
      <w:r>
        <w:t>Immunologie: waarom ontstaat afstoting?</w:t>
      </w:r>
    </w:p>
    <w:p>
      <w:pPr>
        <w:pStyle w:val="Heading5"/>
      </w:pPr>
      <w:r>
        <w:t>Transplantatieantigenen</w:t>
      </w:r>
    </w:p>
    <w:p>
      <w:r>
        <w:t>Verschillen in weefselkenmerken zijn de belangrijkste immunologische oorzaak van afstoting. Hoe meer overeenkomst tussen donor en ontvanger, hoe kleiner de kans op afstoting. Belangrijke transplantatieantigenen zijn:</w:t>
      </w:r>
    </w:p>
    <w:p>
      <w:pPr>
        <w:pStyle w:val="ListBullet"/>
      </w:pPr>
      <w:r>
        <w:rPr>
          <w:b/>
        </w:rPr>
        <w:t>MHC-antigenen</w:t>
      </w:r>
    </w:p>
    <w:p>
      <w:pPr>
        <w:pStyle w:val="ListBullet"/>
      </w:pPr>
      <w:r>
        <w:rPr>
          <w:b/>
        </w:rPr>
        <w:t>non-MHC-antigenen</w:t>
      </w:r>
      <w:r>
        <w:t xml:space="preserve"> of </w:t>
      </w:r>
      <w:r>
        <w:rPr>
          <w:b/>
        </w:rPr>
        <w:t>minor-antigenen</w:t>
      </w:r>
    </w:p>
    <w:p>
      <w:pPr>
        <w:pStyle w:val="ListBullet"/>
      </w:pPr>
      <w:r>
        <w:rPr>
          <w:b/>
        </w:rPr>
        <w:t>bloedgroepantigenen</w:t>
      </w:r>
    </w:p>
    <w:p>
      <w:r>
        <w:t xml:space="preserve">Bij de mens heten de MHC-moleculen </w:t>
      </w:r>
      <w:r>
        <w:rPr>
          <w:b/>
        </w:rPr>
        <w:t>HLA</w:t>
      </w:r>
      <w:r>
        <w:t xml:space="preserve">. De genetische informatie daarvoor ligt op </w:t>
      </w:r>
      <w:r>
        <w:rPr>
          <w:b/>
        </w:rPr>
        <w:t>chromosoom 6</w:t>
      </w:r>
      <w:r>
        <w:t xml:space="preserve">. Als donor en ontvanger genetisch identiek zijn, spreken we van een </w:t>
      </w:r>
      <w:r>
        <w:rPr>
          <w:b/>
        </w:rPr>
        <w:t>syngene transplantatie</w:t>
      </w:r>
      <w:r>
        <w:t xml:space="preserve">. Bij een genetisch verschil spreken we van een </w:t>
      </w:r>
      <w:r>
        <w:rPr>
          <w:b/>
        </w:rPr>
        <w:t>allogene transplantatie</w:t>
      </w:r>
      <w:r>
        <w:t xml:space="preserve">; dat is bij orgaantransplantatie meestal het geval. Een </w:t>
      </w:r>
      <w:r>
        <w:rPr>
          <w:b/>
        </w:rPr>
        <w:t>xenotransplantatie</w:t>
      </w:r>
      <w:r>
        <w:t xml:space="preserve"> is een transplantatie tussen verschillende soorten en is nog experimenteel. In het algemeen geldt: meer genetisch verschil betekent meer transplantatieantigeenvariatie en dus meer immunologische afstoting.</w:t>
      </w:r>
    </w:p>
    <w:p>
      <w:pPr>
        <w:pStyle w:val="Heading5"/>
      </w:pPr>
      <w:r>
        <w:t>Hoe wordt rejectie herkend?</w:t>
      </w:r>
    </w:p>
    <w:p>
      <w:r>
        <w:t xml:space="preserve">Bij de ontvanger staat herkenning door </w:t>
      </w:r>
      <w:r>
        <w:rPr>
          <w:b/>
        </w:rPr>
        <w:t>T-cellen</w:t>
      </w:r>
      <w:r>
        <w:t xml:space="preserve"> centraal. Deze herkennen donorantigenen via antigenpresenterende cellen. Er zijn directe en indirecte herkenning van donor-MHC-moleculen, en die liggen aan de basis van de afstotingsreactie.</w:t>
      </w:r>
    </w:p>
    <w:p>
      <w:pPr>
        <w:pStyle w:val="Heading4"/>
      </w:pPr>
      <w:r>
        <w:t>Rejectie van het orgaan</w:t>
      </w:r>
    </w:p>
    <w:p>
      <w:r>
        <w:t>Er worden drie vormen van afstoting onderscheiden:</w:t>
      </w:r>
    </w:p>
    <w:p>
      <w:pPr>
        <w:pStyle w:val="ListNumber"/>
      </w:pPr>
      <w:r>
        <w:rPr>
          <w:b/>
        </w:rPr>
        <w:t>Hyperacute afstoting</w:t>
      </w:r>
    </w:p>
    <w:p>
      <w:pPr>
        <w:pStyle w:val="ListNumber"/>
      </w:pPr>
      <w:r>
        <w:rPr>
          <w:b/>
        </w:rPr>
        <w:t>Acute afstoting</w:t>
      </w:r>
    </w:p>
    <w:p>
      <w:pPr>
        <w:pStyle w:val="ListNumber"/>
      </w:pPr>
      <w:r>
        <w:rPr>
          <w:b/>
        </w:rPr>
        <w:t>Chronische afstoting</w:t>
      </w:r>
    </w:p>
    <w:p>
      <w:r>
        <w:rPr>
          <w:b/>
        </w:rPr>
        <w:t>Hyperacute afstoting</w:t>
      </w:r>
      <w:r>
        <w:t xml:space="preserve"> ontstaat binnen enkele uren. Dit gebeurt wanneer er al antistoffen tegen donor-MHC of donor-bloedgroepen aanwezig zijn. De afstoting is dus humoraal en berust op vooraf gevormde allo-antistoffen. Bij niertransplantatie wordt een </w:t>
      </w:r>
      <w:r>
        <w:rPr>
          <w:b/>
        </w:rPr>
        <w:t>kruisproef</w:t>
      </w:r>
      <w:r>
        <w:t xml:space="preserve"> gedaan, waarbij gekeken wordt of er antistoffen aanwezig zijn tegen MHC-moleculen van de geselecteerde donor. Als de kruisproef een reactie laat zien, wordt de transplantatie afgebroken. Daardoor komt hyperacute afstoting bij nier-, long- en harttransplantatie praktisch niet meer voor. Bij levertransplantatie zijn er geen tijdsdruk en geen kruisproef vooraf. ABO-incompatibele transplantaties kunnen wel, maar alleen met uitgebreide immunologische voorbereiding; hyperacute rejectie zie je daarbij niet.</w:t>
      </w:r>
    </w:p>
    <w:p>
      <w:r>
        <w:rPr>
          <w:b/>
        </w:rPr>
        <w:t>Acute afstoting</w:t>
      </w:r>
      <w:r>
        <w:t xml:space="preserve"> treedt op binnen weken tot maanden na transplantatie, meestal in de eerste 3-6 maanden. Dit kan cellulair zijn, humoraal, of beide. Er spelen circulerende antistoffen, specifieke T-lymfocyten en directe herkenning van vreemd MHC klasse I en II een rol. Het is dus een adaptieve allo-immuunrespons tegen donor-MHC.</w:t>
      </w:r>
    </w:p>
    <w:p>
      <w:r>
        <w:rPr>
          <w:b/>
        </w:rPr>
        <w:t>Chronische afstoting</w:t>
      </w:r>
      <w:r>
        <w:t xml:space="preserve"> ontstaat maanden tot soms jaren later. Deze kan worden veroorzaakt door allo-immuunreacties, maar ook door niet-immunologische oorzaken zoals hypertensie, hyperlipidemie, geneesmiddeltoxiciteit, virale infecties, late ischemie-/reperfusieschade en terugkeer van de oorspronkelijke ziekte. Een belangrijk kenmerk, vooral bij niertransplantatie, is vaatschade door ongebreidelde groei van vasculaire gladde spiercellen, waardoor een bloedvat langzaam afgesloten raakt.</w:t>
      </w:r>
    </w:p>
    <w:p>
      <w:pPr>
        <w:pStyle w:val="Heading5"/>
      </w:pPr>
      <w:r>
        <w:t>Aandacht-vragetje</w:t>
      </w:r>
    </w:p>
    <w:p>
      <w:r>
        <w:rPr>
          <w:b/>
        </w:rPr>
        <w:t>Waarom is een negatieve kruisproef zo belangrijk?</w:t>
      </w:r>
      <w:r>
        <w:t xml:space="preserve">  </w:t>
        <w:br/>
        <w:t>Omdat daarmee vooraf aanwezige antistoffen tegen donor-HLA of donor-bloedgroep worden uitgesloten.</w:t>
      </w:r>
    </w:p>
    <w:p>
      <w:pPr>
        <w:pStyle w:val="Heading4"/>
      </w:pPr>
      <w:r>
        <w:t>Matching en HLA-typering</w:t>
      </w:r>
    </w:p>
    <w:p>
      <w:r>
        <w:t>Het streven bij transplantatie is:</w:t>
      </w:r>
    </w:p>
    <w:p>
      <w:pPr>
        <w:pStyle w:val="ListBullet"/>
      </w:pPr>
      <w:r>
        <w:rPr>
          <w:b/>
        </w:rPr>
        <w:t>ABO-compatibiliteit</w:t>
      </w:r>
    </w:p>
    <w:p>
      <w:pPr>
        <w:pStyle w:val="ListBullet"/>
      </w:pPr>
      <w:r>
        <w:rPr>
          <w:b/>
        </w:rPr>
        <w:t>MHC/HLA-compatibiliteit</w:t>
      </w:r>
    </w:p>
    <w:p>
      <w:r>
        <w:t>Daarnaast wil je een negatieve kruisproef en een optimale HLA-match. HLA-typering kan op twee manieren gebeuren:</w:t>
      </w:r>
    </w:p>
    <w:p>
      <w:pPr>
        <w:pStyle w:val="ListBullet"/>
      </w:pPr>
      <w:r>
        <w:rPr>
          <w:b/>
        </w:rPr>
        <w:t>Serologisch</w:t>
      </w:r>
      <w:r>
        <w:t>: fenotypering met een panel van goed gedefinieerde HLA-antistoffen</w:t>
      </w:r>
    </w:p>
    <w:p>
      <w:pPr>
        <w:pStyle w:val="ListBullet"/>
      </w:pPr>
      <w:r>
        <w:rPr>
          <w:b/>
        </w:rPr>
        <w:t>Moleculair</w:t>
      </w:r>
      <w:r>
        <w:t>: PCR-amplificatie met sequentie-specifieke primers of DNA-sequencing</w:t>
      </w:r>
    </w:p>
    <w:p>
      <w:pPr>
        <w:pStyle w:val="Heading4"/>
      </w:pPr>
      <w:r>
        <w:t>Immunosuppressie</w:t>
      </w:r>
    </w:p>
    <w:p>
      <w:r>
        <w:t>Zonder immuunsuppressie lukt transplantatie niet. De behandeling bestaat meestal uit twee fasen:</w:t>
      </w:r>
    </w:p>
    <w:p>
      <w:pPr>
        <w:pStyle w:val="ListBullet"/>
      </w:pPr>
      <w:r>
        <w:rPr>
          <w:b/>
        </w:rPr>
        <w:t>inductie</w:t>
      </w:r>
      <w:r>
        <w:t>: de eerste dagen tot weken, vaak met krachtige T-celremming of -depletie</w:t>
      </w:r>
    </w:p>
    <w:p>
      <w:pPr>
        <w:pStyle w:val="ListBullet"/>
      </w:pPr>
      <w:r>
        <w:rPr>
          <w:b/>
        </w:rPr>
        <w:t>onderhoud</w:t>
      </w:r>
      <w:r>
        <w:t>: daarna langdurig, meestal met orale medicatie</w:t>
      </w:r>
    </w:p>
    <w:p>
      <w:r>
        <w:t xml:space="preserve">De standaard onderhoudsbehandeling bestaat uit </w:t>
      </w:r>
      <w:r>
        <w:rPr>
          <w:b/>
        </w:rPr>
        <w:t>tacrolimus, mycofenolaat mofetil en prednison</w:t>
      </w:r>
      <w:r>
        <w:t xml:space="preserve">. Soms wordt vooraf inductietherapie gegeven, bijvoorbeeld met </w:t>
      </w:r>
      <w:r>
        <w:rPr>
          <w:b/>
        </w:rPr>
        <w:t>ATG, alemtuzumab, basiliximab of rituximab</w:t>
      </w:r>
      <w:r>
        <w:t>.</w:t>
      </w:r>
    </w:p>
    <w:p>
      <w:r>
        <w:rPr>
          <w:b/>
        </w:rPr>
        <w:t>Tabel 4. Inductie- en onderhoudsmedicatie</w:t>
      </w:r>
    </w:p>
    <w:tbl>
      <w:tblPr>
        <w:tblStyle w:val="TableGrid"/>
        <w:tblW w:type="auto" w:w="0"/>
        <w:tblLook w:firstColumn="1" w:firstRow="1" w:lastColumn="0" w:lastRow="0" w:noHBand="0" w:noVBand="1" w:val="04A0"/>
      </w:tblPr>
      <w:tblGrid>
        <w:gridCol w:w="4320"/>
        <w:gridCol w:w="4320"/>
      </w:tblGrid>
      <w:tr>
        <w:tc>
          <w:tcPr>
            <w:tcW w:type="dxa" w:w="4320"/>
          </w:tcPr>
          <w:p>
            <w:r>
              <w:t>Inductie</w:t>
            </w:r>
          </w:p>
        </w:tc>
        <w:tc>
          <w:tcPr>
            <w:tcW w:type="dxa" w:w="4320"/>
          </w:tcPr>
          <w:p>
            <w:r>
              <w:t>Onderhoud</w:t>
            </w:r>
          </w:p>
        </w:tc>
      </w:tr>
      <w:tr>
        <w:tc>
          <w:tcPr>
            <w:tcW w:type="dxa" w:w="4320"/>
          </w:tcPr>
          <w:p>
            <w:r>
              <w:t>Rituximab</w:t>
            </w:r>
          </w:p>
        </w:tc>
        <w:tc>
          <w:tcPr>
            <w:tcW w:type="dxa" w:w="4320"/>
          </w:tcPr>
          <w:p>
            <w:r>
              <w:t>Mycofenolaat mofetil</w:t>
            </w:r>
          </w:p>
        </w:tc>
      </w:tr>
      <w:tr>
        <w:tc>
          <w:tcPr>
            <w:tcW w:type="dxa" w:w="4320"/>
          </w:tcPr>
          <w:p>
            <w:r>
              <w:t>ATG (anti-thymocyten globuline)</w:t>
            </w:r>
          </w:p>
        </w:tc>
        <w:tc>
          <w:tcPr>
            <w:tcW w:type="dxa" w:w="4320"/>
          </w:tcPr>
          <w:p>
            <w:r>
              <w:t>Tacrolimus</w:t>
            </w:r>
          </w:p>
        </w:tc>
      </w:tr>
      <w:tr>
        <w:tc>
          <w:tcPr>
            <w:tcW w:type="dxa" w:w="4320"/>
          </w:tcPr>
          <w:p>
            <w:r>
              <w:t>Alemtuzumab</w:t>
            </w:r>
          </w:p>
        </w:tc>
        <w:tc>
          <w:tcPr>
            <w:tcW w:type="dxa" w:w="4320"/>
          </w:tcPr>
          <w:p>
            <w:r>
              <w:t>Belatacept</w:t>
            </w:r>
          </w:p>
        </w:tc>
      </w:tr>
      <w:tr>
        <w:tc>
          <w:tcPr>
            <w:tcW w:type="dxa" w:w="4320"/>
          </w:tcPr>
          <w:p>
            <w:r>
              <w:t>Basiliximab</w:t>
            </w:r>
          </w:p>
        </w:tc>
        <w:tc>
          <w:tcPr>
            <w:tcW w:type="dxa" w:w="4320"/>
          </w:tcPr>
          <w:p>
            <w:r>
              <w:t>Prednison</w:t>
            </w:r>
          </w:p>
        </w:tc>
      </w:tr>
      <w:tr>
        <w:tc>
          <w:tcPr>
            <w:tcW w:type="dxa" w:w="4320"/>
          </w:tcPr>
          <w:p>
            <w:r>
              <w:t>Cyclosporine</w:t>
            </w:r>
          </w:p>
        </w:tc>
        <w:tc>
          <w:tcPr>
            <w:tcW w:type="dxa" w:w="4320"/>
          </w:tcPr>
          <w:p>
            <w:r/>
          </w:p>
        </w:tc>
      </w:tr>
      <w:tr>
        <w:tc>
          <w:tcPr>
            <w:tcW w:type="dxa" w:w="4320"/>
          </w:tcPr>
          <w:p>
            <w:r>
              <w:t>Everolimus</w:t>
            </w:r>
          </w:p>
        </w:tc>
        <w:tc>
          <w:tcPr>
            <w:tcW w:type="dxa" w:w="4320"/>
          </w:tcPr>
          <w:p>
            <w:r/>
          </w:p>
        </w:tc>
      </w:tr>
    </w:tbl>
    <w:p>
      <w:pPr>
        <w:pStyle w:val="Heading5"/>
      </w:pPr>
      <w:r>
        <w:t>Belangrijkste bijwerkingen</w:t>
      </w:r>
    </w:p>
    <w:p>
      <w:r>
        <w:t>De belangrijkste bijwerkingen verschillen per middel.</w:t>
      </w:r>
    </w:p>
    <w:p>
      <w:r>
        <w:rPr>
          <w:b/>
        </w:rPr>
        <w:t>Tabel 5. Belangrijkste bijwerkingen van immunosuppressiva</w:t>
      </w:r>
    </w:p>
    <w:tbl>
      <w:tblPr>
        <w:tblStyle w:val="TableGrid"/>
        <w:tblW w:type="auto" w:w="0"/>
        <w:tblLook w:firstColumn="1" w:firstRow="1" w:lastColumn="0" w:lastRow="0" w:noHBand="0" w:noVBand="1" w:val="04A0"/>
      </w:tblPr>
      <w:tblGrid>
        <w:gridCol w:w="4320"/>
        <w:gridCol w:w="4320"/>
      </w:tblGrid>
      <w:tr>
        <w:tc>
          <w:tcPr>
            <w:tcW w:type="dxa" w:w="4320"/>
          </w:tcPr>
          <w:p>
            <w:r>
              <w:t>Middel</w:t>
            </w:r>
          </w:p>
        </w:tc>
        <w:tc>
          <w:tcPr>
            <w:tcW w:type="dxa" w:w="4320"/>
          </w:tcPr>
          <w:p>
            <w:r>
              <w:t>Belangrijke bijwerkingen</w:t>
            </w:r>
          </w:p>
        </w:tc>
      </w:tr>
      <w:tr>
        <w:tc>
          <w:tcPr>
            <w:tcW w:type="dxa" w:w="4320"/>
          </w:tcPr>
          <w:p>
            <w:r>
              <w:t>Prednison</w:t>
            </w:r>
          </w:p>
        </w:tc>
        <w:tc>
          <w:tcPr>
            <w:tcW w:type="dxa" w:w="4320"/>
          </w:tcPr>
          <w:p>
            <w:r>
              <w:t>Hypertensie, suikerziekte / verslechtering daarvan, spierzwakte, overgewicht / dik gezicht</w:t>
            </w:r>
          </w:p>
        </w:tc>
      </w:tr>
      <w:tr>
        <w:tc>
          <w:tcPr>
            <w:tcW w:type="dxa" w:w="4320"/>
          </w:tcPr>
          <w:p>
            <w:r>
              <w:t>Tacrolimus</w:t>
            </w:r>
          </w:p>
        </w:tc>
        <w:tc>
          <w:tcPr>
            <w:tcW w:type="dxa" w:w="4320"/>
          </w:tcPr>
          <w:p>
            <w:r>
              <w:t>Hypertensie, suikerziekte, nierschade, zenuwprikkeling of zenuwschade, verhoogd cholesterol</w:t>
            </w:r>
          </w:p>
        </w:tc>
      </w:tr>
      <w:tr>
        <w:tc>
          <w:tcPr>
            <w:tcW w:type="dxa" w:w="4320"/>
          </w:tcPr>
          <w:p>
            <w:r>
              <w:t>Cyclosporine</w:t>
            </w:r>
          </w:p>
        </w:tc>
        <w:tc>
          <w:tcPr>
            <w:tcW w:type="dxa" w:w="4320"/>
          </w:tcPr>
          <w:p>
            <w:r>
              <w:t>Hypertensie, meer haargroei, suikerziekte, nierschade, zenuwprikkeling of zenuwschade, verhoogd cholesterol</w:t>
            </w:r>
          </w:p>
        </w:tc>
      </w:tr>
      <w:tr>
        <w:tc>
          <w:tcPr>
            <w:tcW w:type="dxa" w:w="4320"/>
          </w:tcPr>
          <w:p>
            <w:r>
              <w:t>Mycofenolaat mofetil</w:t>
            </w:r>
          </w:p>
        </w:tc>
        <w:tc>
          <w:tcPr>
            <w:tcW w:type="dxa" w:w="4320"/>
          </w:tcPr>
          <w:p>
            <w:r>
              <w:t>Beenmergremming, buikklachten / diarree</w:t>
            </w:r>
          </w:p>
        </w:tc>
      </w:tr>
      <w:tr>
        <w:tc>
          <w:tcPr>
            <w:tcW w:type="dxa" w:w="4320"/>
          </w:tcPr>
          <w:p>
            <w:r>
              <w:t>Sirolimus / Everolimus</w:t>
            </w:r>
          </w:p>
        </w:tc>
        <w:tc>
          <w:tcPr>
            <w:tcW w:type="dxa" w:w="4320"/>
          </w:tcPr>
          <w:p>
            <w:r>
              <w:t>Nierschade, mondzweren, verhoogd cholesterol, gestoorde leverwaarden, beenmergremming, buikklachten / diarree</w:t>
            </w:r>
          </w:p>
        </w:tc>
      </w:tr>
    </w:tbl>
    <w:p>
      <w:r>
        <w:t>Er zijn ook algemene nadelen van immuunsuppressie:</w:t>
      </w:r>
    </w:p>
    <w:p>
      <w:pPr>
        <w:pStyle w:val="ListBullet"/>
      </w:pPr>
      <w:r>
        <w:t>verhoogd risico op infecties</w:t>
      </w:r>
    </w:p>
    <w:p>
      <w:pPr>
        <w:pStyle w:val="ListBullet"/>
      </w:pPr>
      <w:r>
        <w:t>verhoogd risico op kanker</w:t>
      </w:r>
    </w:p>
    <w:p>
      <w:pPr>
        <w:pStyle w:val="ListBullet"/>
      </w:pPr>
      <w:r>
        <w:t>verhoogd risico op hart- en vaatziekten</w:t>
      </w:r>
    </w:p>
    <w:p>
      <w:pPr>
        <w:pStyle w:val="Heading4"/>
      </w:pPr>
      <w:r>
        <w:t>Infecties na transplantatie</w:t>
      </w:r>
    </w:p>
    <w:p>
      <w:r>
        <w:t>Immuunsuppressiva verhogen de kans op infecties. Dat geldt voor virale, bacteriële, schimmel-, parasitaire en protozoaire infecties. Deze infecties kunnen atypisch presenteren en sneller verlopen. Er is wel een herkenbaar tijdspatroon:</w:t>
      </w:r>
    </w:p>
    <w:p>
      <w:r>
        <w:rPr>
          <w:b/>
        </w:rPr>
        <w:t>Tabel 6. Tijdspatroon van infecties</w:t>
      </w:r>
    </w:p>
    <w:tbl>
      <w:tblPr>
        <w:tblStyle w:val="TableGrid"/>
        <w:tblW w:type="auto" w:w="0"/>
        <w:tblLook w:firstColumn="1" w:firstRow="1" w:lastColumn="0" w:lastRow="0" w:noHBand="0" w:noVBand="1" w:val="04A0"/>
      </w:tblPr>
      <w:tblGrid>
        <w:gridCol w:w="4320"/>
        <w:gridCol w:w="4320"/>
      </w:tblGrid>
      <w:tr>
        <w:tc>
          <w:tcPr>
            <w:tcW w:type="dxa" w:w="4320"/>
          </w:tcPr>
          <w:p>
            <w:r>
              <w:t>Tijd na transplantatie</w:t>
            </w:r>
          </w:p>
        </w:tc>
        <w:tc>
          <w:tcPr>
            <w:tcW w:type="dxa" w:w="4320"/>
          </w:tcPr>
          <w:p>
            <w:r>
              <w:t>Typische situatie</w:t>
            </w:r>
          </w:p>
        </w:tc>
      </w:tr>
      <w:tr>
        <w:tc>
          <w:tcPr>
            <w:tcW w:type="dxa" w:w="4320"/>
          </w:tcPr>
          <w:p>
            <w:r>
              <w:t>&lt; 4 weken</w:t>
            </w:r>
          </w:p>
        </w:tc>
        <w:tc>
          <w:tcPr>
            <w:tcW w:type="dxa" w:w="4320"/>
          </w:tcPr>
          <w:p>
            <w:r>
              <w:t>Nosocomiaal, technisch, donor-/recipientgebonden</w:t>
            </w:r>
          </w:p>
        </w:tc>
      </w:tr>
      <w:tr>
        <w:tc>
          <w:tcPr>
            <w:tcW w:type="dxa" w:w="4320"/>
          </w:tcPr>
          <w:p>
            <w:r>
              <w:t>1-12 maanden</w:t>
            </w:r>
          </w:p>
        </w:tc>
        <w:tc>
          <w:tcPr>
            <w:tcW w:type="dxa" w:w="4320"/>
          </w:tcPr>
          <w:p>
            <w:r>
              <w:t>Reactivatie van latente infecties, opportunistische infecties, recidief</w:t>
            </w:r>
          </w:p>
        </w:tc>
      </w:tr>
      <w:tr>
        <w:tc>
          <w:tcPr>
            <w:tcW w:type="dxa" w:w="4320"/>
          </w:tcPr>
          <w:p>
            <w:r>
              <w:t>&gt; 12 maanden</w:t>
            </w:r>
          </w:p>
        </w:tc>
        <w:tc>
          <w:tcPr>
            <w:tcW w:type="dxa" w:w="4320"/>
          </w:tcPr>
          <w:p>
            <w:r>
              <w:t>Meer community-acquired infecties</w:t>
            </w:r>
          </w:p>
        </w:tc>
      </w:tr>
    </w:tbl>
    <w:p>
      <w:r>
        <w:t xml:space="preserve">De vier belangrijkste infecties die hier extra aandacht krijgen zijn </w:t>
      </w:r>
      <w:r>
        <w:rPr>
          <w:b/>
        </w:rPr>
        <w:t>CMV, PJP, EBV en SARS-CoV-2</w:t>
      </w:r>
      <w:r>
        <w:t>.</w:t>
      </w:r>
    </w:p>
    <w:p>
      <w:pPr>
        <w:pStyle w:val="Heading5"/>
      </w:pPr>
      <w:r>
        <w:t>CMV</w:t>
      </w:r>
    </w:p>
    <w:p>
      <w:r>
        <w:t xml:space="preserve">Cytomegalovirus is een herpesvirus dat na infectie in de jeugd latent aanwezig blijft. Na transplantatie kunnen de klachten variëren van afwezig tot levensbedreigend, afhankelijk van primo-infectie of reactivatie. Het risico is hoger na T-cel-depleterende therapie, bij een CMV-positieve donor en seronegatieve ontvanger, en na het stoppen van profylaxe. Profylaxe vermindert de kans op ziekte en sterfte sterk. </w:t>
      </w:r>
      <w:r>
        <w:rPr>
          <w:b/>
        </w:rPr>
        <w:t>Valganciclovir 900 mg</w:t>
      </w:r>
      <w:r>
        <w:t xml:space="preserve"> wordt gegeven, aangepast aan de nierfunctie, gedurende 3-6 maanden. Er is </w:t>
      </w:r>
      <w:r>
        <w:rPr>
          <w:b/>
        </w:rPr>
        <w:t>geen vaccin</w:t>
      </w:r>
      <w:r>
        <w:t xml:space="preserve"> beschikbaar.</w:t>
      </w:r>
    </w:p>
    <w:p>
      <w:pPr>
        <w:pStyle w:val="Heading5"/>
      </w:pPr>
      <w:r>
        <w:t>PJP</w:t>
      </w:r>
    </w:p>
    <w:p>
      <w:r>
        <w:rPr>
          <w:b/>
        </w:rPr>
        <w:t>Pneumocystis jirovecii</w:t>
      </w:r>
      <w:r>
        <w:t xml:space="preserve"> veroorzaakt een ernstige pneumonie. Het risico neemt toe bij hoge doses prednison en na T-cel-depleterende therapie. Zonder behandeling is de sterfte zeer hoog. Daarom is profylaxe cruciaal. </w:t>
      </w:r>
      <w:r>
        <w:rPr>
          <w:b/>
        </w:rPr>
        <w:t>Cotrimoxazol 480 mg</w:t>
      </w:r>
      <w:r>
        <w:t xml:space="preserve"> wordt meestal 3-6 maanden gegeven; niet bij levertransplantatie en bij longtransplantatie zelfs levenslang. Ook hier is geen vaccin beschikbaar.</w:t>
      </w:r>
    </w:p>
    <w:p>
      <w:pPr>
        <w:pStyle w:val="Heading5"/>
      </w:pPr>
      <w:r>
        <w:t>EBV</w:t>
      </w:r>
    </w:p>
    <w:p>
      <w:r>
        <w:t>Epstein-Barrvirus is opnieuw een herpesvirus en blijft latent aanwezig na infectie in de jeugd. Na transplantatie zijn de klachten meestal mild: koorts, malaise, keelpijn, lymfadenopathie en hepatosplenomegalie. Het virus kan leiden tot proliferatie van geïnfecteerde B-lymfocyten. Cytotoxische T-cellen en antistoffen zijn belangrijk voor de afweer. Ook hier is vooral na T-cel-depleterende therapie het risico op reactivatie verhoogd.</w:t>
      </w:r>
    </w:p>
    <w:p>
      <w:pPr>
        <w:pStyle w:val="Heading5"/>
      </w:pPr>
      <w:r>
        <w:t>SARS-CoV-2</w:t>
      </w:r>
    </w:p>
    <w:p>
      <w:r>
        <w:t>SARS-CoV-2 is een variant van het coronavirus en is inmiddels endemisch. Na transplantatie kan het een luchtweginfectie geven, soms met asymptomatische hypoxie. Vooral longtransplantatiepatiënten hebben extra risico op sterfte. Bij een nierfunctie onder 30 ml/min, dialyse en niertransplantatie is de sterfte 3-4 keer hoger; die sterfte hangt vooral samen met kwetsbaarheid en leeftijd. Vaccinatie kan een antistofrespons geven, maar niet altijd. Na twee vaccinaties werd bij 57% van de niertransplantatiepatiënten antistofvorming gezien; herhaalde vaccinatie zorgde bij 70% van de non-responders alsnog voor respons. Ook na tijdelijk stoppen van MMF bleek er in één studie geen effect, maar dat onderzoek loopt nog. Toch kunnen transplantatiepatiënten nog steeds ernstig ziek worden van mildere varianten.</w:t>
      </w:r>
    </w:p>
    <w:p>
      <w:pPr>
        <w:pStyle w:val="Heading5"/>
      </w:pPr>
      <w:r>
        <w:t>Preventie van infecties</w:t>
      </w:r>
    </w:p>
    <w:p>
      <w:r>
        <w:t xml:space="preserve">Vanwege deze infectieuze complicaties krijgen transplantatiepatiënten jaarlijks </w:t>
      </w:r>
      <w:r>
        <w:rPr>
          <w:b/>
        </w:rPr>
        <w:t>griepvaccinatie</w:t>
      </w:r>
      <w:r>
        <w:t xml:space="preserve">. Daarnaast wordt elke 5 jaar </w:t>
      </w:r>
      <w:r>
        <w:rPr>
          <w:b/>
        </w:rPr>
        <w:t>pneumokokkenvaccinatie</w:t>
      </w:r>
      <w:r>
        <w:t xml:space="preserve"> en eenmalig </w:t>
      </w:r>
      <w:r>
        <w:rPr>
          <w:b/>
        </w:rPr>
        <w:t>vaccinatie tegen herpes zoster</w:t>
      </w:r>
      <w:r>
        <w:t xml:space="preserve"> aanbevolen. Het liefst worden deze vaccinaties al vóór de transplantatie gegeven.</w:t>
      </w:r>
    </w:p>
    <w:p>
      <w:pPr>
        <w:pStyle w:val="Heading4"/>
      </w:pPr>
      <w:r>
        <w:t>Kanker na orgaantransplantatie</w:t>
      </w:r>
    </w:p>
    <w:p>
      <w:r>
        <w:t>Na transplantatie is er ook een verhoogd risico op kanker. Daar spelen twee dingen in mee: de immuunsuppressie zelf en de onderliggende aandoening die tot orgaanfalen heeft geleid. Denk bijvoorbeeld aan iemand met veel alcoholgebruik of aan een patiënt die al eerder immuunsuppressiva gebruikte.</w:t>
      </w:r>
    </w:p>
    <w:p>
      <w:r>
        <w:t>Het risico neemt toe:</w:t>
      </w:r>
    </w:p>
    <w:p>
      <w:pPr>
        <w:pStyle w:val="ListBullet"/>
      </w:pPr>
      <w:r>
        <w:t>naarmate de tijd na transplantatie langer wordt</w:t>
      </w:r>
    </w:p>
    <w:p>
      <w:pPr>
        <w:pStyle w:val="ListBullet"/>
      </w:pPr>
      <w:r>
        <w:t>door cumulatieve blootstelling aan immuunsuppressiva</w:t>
      </w:r>
    </w:p>
    <w:p>
      <w:pPr>
        <w:pStyle w:val="ListBullet"/>
      </w:pPr>
      <w:r>
        <w:t>door hogere leeftijd</w:t>
      </w:r>
    </w:p>
    <w:p>
      <w:r>
        <w:t xml:space="preserve">Jongeren hebben een relatief hoger risico dan ouderen, maar in absolute zin blijft hun kans laag. De meeste kankers komen daarom voor bij oudere transplantatie-ontvangers. </w:t>
      </w:r>
      <w:r>
        <w:rPr>
          <w:b/>
        </w:rPr>
        <w:t>Huidkanker</w:t>
      </w:r>
      <w:r>
        <w:t xml:space="preserve"> is het meest voorkomend, vooral plaveiselcelcarcinoom en basaalcelcarcinoom.</w:t>
      </w:r>
    </w:p>
    <w:p>
      <w:r>
        <w:t>Veel virussen hebben oncogene eigenschappen en virus-geassocieerde tumoren komen daarom vaker voor na transplantatie.</w:t>
      </w:r>
    </w:p>
    <w:p>
      <w:r>
        <w:rPr>
          <w:b/>
        </w:rPr>
        <w:t>Tabel 7. Voorbeelden van virus-geassocieerde maligniteiten</w:t>
      </w:r>
    </w:p>
    <w:tbl>
      <w:tblPr>
        <w:tblStyle w:val="TableGrid"/>
        <w:tblW w:type="auto" w:w="0"/>
        <w:tblLook w:firstColumn="1" w:firstRow="1" w:lastColumn="0" w:lastRow="0" w:noHBand="0" w:noVBand="1" w:val="04A0"/>
      </w:tblPr>
      <w:tblGrid>
        <w:gridCol w:w="4320"/>
        <w:gridCol w:w="4320"/>
      </w:tblGrid>
      <w:tr>
        <w:tc>
          <w:tcPr>
            <w:tcW w:type="dxa" w:w="4320"/>
          </w:tcPr>
          <w:p>
            <w:r>
              <w:t>Virus</w:t>
            </w:r>
          </w:p>
        </w:tc>
        <w:tc>
          <w:tcPr>
            <w:tcW w:type="dxa" w:w="4320"/>
          </w:tcPr>
          <w:p>
            <w:r>
              <w:t>Geassocieerde kanker</w:t>
            </w:r>
          </w:p>
        </w:tc>
      </w:tr>
      <w:tr>
        <w:tc>
          <w:tcPr>
            <w:tcW w:type="dxa" w:w="4320"/>
          </w:tcPr>
          <w:p>
            <w:r>
              <w:t>Hepatitis B-virus (HBV)</w:t>
            </w:r>
          </w:p>
        </w:tc>
        <w:tc>
          <w:tcPr>
            <w:tcW w:type="dxa" w:w="4320"/>
          </w:tcPr>
          <w:p>
            <w:r>
              <w:t>Hepatocellulair carcinoom</w:t>
            </w:r>
          </w:p>
        </w:tc>
      </w:tr>
      <w:tr>
        <w:tc>
          <w:tcPr>
            <w:tcW w:type="dxa" w:w="4320"/>
          </w:tcPr>
          <w:p>
            <w:r>
              <w:t>Hepatitis C-virus (HCV)</w:t>
            </w:r>
          </w:p>
        </w:tc>
        <w:tc>
          <w:tcPr>
            <w:tcW w:type="dxa" w:w="4320"/>
          </w:tcPr>
          <w:p>
            <w:r>
              <w:t>Hepatocellulair carcinoom</w:t>
            </w:r>
          </w:p>
        </w:tc>
      </w:tr>
      <w:tr>
        <w:tc>
          <w:tcPr>
            <w:tcW w:type="dxa" w:w="4320"/>
          </w:tcPr>
          <w:p>
            <w:r>
              <w:t>Humaan T-lymphotroop virus (HTLV)</w:t>
            </w:r>
          </w:p>
        </w:tc>
        <w:tc>
          <w:tcPr>
            <w:tcW w:type="dxa" w:w="4320"/>
          </w:tcPr>
          <w:p>
            <w:r>
              <w:t>Adult T-celleukemie</w:t>
            </w:r>
          </w:p>
        </w:tc>
      </w:tr>
      <w:tr>
        <w:tc>
          <w:tcPr>
            <w:tcW w:type="dxa" w:w="4320"/>
          </w:tcPr>
          <w:p>
            <w:r>
              <w:t>HPV type 16 en 18</w:t>
            </w:r>
          </w:p>
        </w:tc>
        <w:tc>
          <w:tcPr>
            <w:tcW w:type="dxa" w:w="4320"/>
          </w:tcPr>
          <w:p>
            <w:r>
              <w:t>Cervix-, anus-, penis-, vulva-, vagina- en oropharynxcarcinoom</w:t>
            </w:r>
          </w:p>
        </w:tc>
      </w:tr>
      <w:tr>
        <w:tc>
          <w:tcPr>
            <w:tcW w:type="dxa" w:w="4320"/>
          </w:tcPr>
          <w:p>
            <w:r>
              <w:t>HHV-8</w:t>
            </w:r>
          </w:p>
        </w:tc>
        <w:tc>
          <w:tcPr>
            <w:tcW w:type="dxa" w:w="4320"/>
          </w:tcPr>
          <w:p>
            <w:r>
              <w:t>Kaposi-sarcoom, Castleman disease</w:t>
            </w:r>
          </w:p>
        </w:tc>
      </w:tr>
      <w:tr>
        <w:tc>
          <w:tcPr>
            <w:tcW w:type="dxa" w:w="4320"/>
          </w:tcPr>
          <w:p>
            <w:r>
              <w:t>Merkel-cell polyomavirus (MCV)</w:t>
            </w:r>
          </w:p>
        </w:tc>
        <w:tc>
          <w:tcPr>
            <w:tcW w:type="dxa" w:w="4320"/>
          </w:tcPr>
          <w:p>
            <w:r>
              <w:t>Merkel-cellcarcinoom</w:t>
            </w:r>
          </w:p>
        </w:tc>
      </w:tr>
      <w:tr>
        <w:tc>
          <w:tcPr>
            <w:tcW w:type="dxa" w:w="4320"/>
          </w:tcPr>
          <w:p>
            <w:r>
              <w:t>Epstein-Barrvirus (EBV)</w:t>
            </w:r>
          </w:p>
        </w:tc>
        <w:tc>
          <w:tcPr>
            <w:tcW w:type="dxa" w:w="4320"/>
          </w:tcPr>
          <w:p>
            <w:r>
              <w:t>Burkitt-lymfoom, non-Hodgkinlymfoom</w:t>
            </w:r>
          </w:p>
        </w:tc>
      </w:tr>
    </w:tbl>
    <w:p>
      <w:pPr>
        <w:pStyle w:val="Heading4"/>
      </w:pPr>
      <w:r>
        <w:t>Samenvatting</w:t>
      </w:r>
    </w:p>
    <w:p>
      <w:r>
        <w:t>Orgaantransplantatie is bedoeld voor patiënten met onomkeerbaar orgaanfalen. De indicatie en contra-indicaties verschillen per orgaan, maar algemene principes zijn belangrijk: actieve infecties, uitgezaaide kanker en ernstige verslaving zijn contra-indicaties. Goede donorselectie vraagt aandacht voor donorvorm, HLA- en ABO-compatibiliteit en de gezondheid van donor en ontvanger. Afstoting ontstaat vooral door verschillen in HLA/MHC. Hyperacute afstoting is antistofgemedieerd en moet worden voorkomen met een negatieve kruisproef. Acute afstoting treedt binnen weken tot maanden op, chronische afstoting later en kan ook niet-immunologische oorzaken hebben. Omdat afstoting niet te vermijden is, is levenslange immuunsuppressie nodig, meestal met inductie en onderhoud. Daar horen belangrijke bijwerkingen bij, zoals infecties, kanker, nierproblemen en metabole complicaties. Infecties volgen vaak een tijdspatroon na transplantatie, en CMV, PJP, EBV en SARS-CoV-2 zijn extra belangrijk. Ook het verhoogde kankerrisico, vooral huidkanker en virus-geassocieerde maligniteiten, hoort bij deze stof.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