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62 – Risico op iatrogene schade na orgaantransplantatie</w:t>
      </w:r>
    </w:p>
    <w:p>
      <w:pPr>
        <w:pStyle w:val="Heading4"/>
      </w:pPr>
      <w:r>
        <w:t>Leerdoelen</w:t>
      </w:r>
    </w:p>
    <w:p>
      <w:r>
        <w:t>Na het doornemen van deze samenvatting kun je:</w:t>
      </w:r>
    </w:p>
    <w:p>
      <w:pPr>
        <w:pStyle w:val="ListBullet"/>
      </w:pPr>
      <w:r>
        <w:t>uitleggen waarom immunosuppressieve medicatie onmisbaar is na een orgaantransplantatie;</w:t>
      </w:r>
    </w:p>
    <w:p>
      <w:pPr>
        <w:pStyle w:val="ListBullet"/>
      </w:pPr>
      <w:r>
        <w:t>de belangrijkste risico’s van immunosuppressief gebruik benoemen;</w:t>
      </w:r>
    </w:p>
    <w:p>
      <w:pPr>
        <w:pStyle w:val="ListBullet"/>
      </w:pPr>
      <w:r>
        <w:t>uitleggen waarom patiënten na orgaantransplantatie een sterk verhoogd risico hebben op plaveiselcelcarcinoom;</w:t>
      </w:r>
    </w:p>
    <w:p>
      <w:pPr>
        <w:pStyle w:val="ListBullet"/>
      </w:pPr>
      <w:r>
        <w:t>de belangrijkste afwegingen rondom chemopreventie en follow-up bij deze patiënten beschrijven.</w:t>
      </w:r>
    </w:p>
    <w:p>
      <w:pPr>
        <w:pStyle w:val="Heading4"/>
      </w:pPr>
      <w:r>
        <w:t>Orgaantransplantatie en immunosuppressie: waarom is het zo belangrijk?</w:t>
      </w:r>
    </w:p>
    <w:p>
      <w:r>
        <w:t>Iatrogene schade betekent schade die ontstaat door behandeling. Bij orgaantransplantatie gaat het dus om schade of complicaties die samenhangen met de noodzakelijke behandeling zelf, namelijk het onderdrukken van het afweersysteem.</w:t>
      </w:r>
    </w:p>
    <w:p>
      <w:r>
        <w:t>Orgaantransplantatie speelt een belangrijke rol in de curatieve geneeskunde. Voor patiënten met terminaal orgaanfalen kan het een levensverlengende behandeling zijn. Daarnaast kan een transplantatie veel voordelen geven: de kwaliteit van leven verbetert vaak, en op de lange termijn kan een transplantatie, bijvoorbeeld van een nier, zelfs goedkoper zijn dan langdurige dialyse.</w:t>
      </w:r>
    </w:p>
    <w:p>
      <w:r>
        <w:t>Tegelijkertijd is een transplantatie niet mogelijk zonder langdurige immunosuppressieve medicatie. Die medicatie is nodig om afstoting van het getransplanteerde orgaan te voorkomen. Het doel is dus steeds een balans: genoeg afweeronderdrukking om afstoting tegen te gaan, maar niet zoveel dat de patiënt onnodig veel bijwerkingen krijgt.</w:t>
      </w:r>
    </w:p>
    <w:p>
      <w:r>
        <w:rPr>
          <w:b/>
        </w:rPr>
        <w:t>Aandachtsvraag:</w:t>
      </w:r>
      <w:r>
        <w:t xml:space="preserve"> Waarom is een transplantatiepatiënt niet veilig zonder immunosuppressie?  </w:t>
        <w:br/>
      </w:r>
      <w:r>
        <w:rPr>
          <w:b/>
        </w:rPr>
        <w:t>Kort antwoord:</w:t>
      </w:r>
      <w:r>
        <w:t xml:space="preserve"> Omdat het lichaam het nieuwe orgaan dan als vreemd herkent en afstoot.</w:t>
      </w:r>
    </w:p>
    <w:p>
      <w:pPr>
        <w:pStyle w:val="Heading4"/>
      </w:pPr>
      <w:r>
        <w:t>De belangrijkste immunosuppressiva</w:t>
      </w:r>
    </w:p>
    <w:p>
      <w:r>
        <w:t>Er bestaan veel immunosuppressieve middelen. In de praktijk worden ze vaak gecombineerd, omdat verschillende aangrijpingspunten nodig zijn om afstoting goed te onderdrukken.</w:t>
      </w:r>
    </w:p>
    <w:p>
      <w:pPr>
        <w:pStyle w:val="Heading5"/>
      </w:pPr>
      <w:r>
        <w:t>Tabel 1. Belangrijkste immunosuppressiva en hun aangrijpingspunt</w:t>
      </w:r>
    </w:p>
    <w:tbl>
      <w:tblPr>
        <w:tblStyle w:val="TableGrid"/>
        <w:tblW w:type="auto" w:w="0"/>
        <w:tblLook w:firstColumn="1" w:firstRow="1" w:lastColumn="0" w:lastRow="0" w:noHBand="0" w:noVBand="1" w:val="04A0"/>
      </w:tblPr>
      <w:tblGrid>
        <w:gridCol w:w="2880"/>
        <w:gridCol w:w="2880"/>
        <w:gridCol w:w="2880"/>
      </w:tblGrid>
      <w:tr>
        <w:tc>
          <w:tcPr>
            <w:tcW w:type="dxa" w:w="2880"/>
          </w:tcPr>
          <w:p>
            <w:r>
              <w:t>Klasse</w:t>
            </w:r>
          </w:p>
        </w:tc>
        <w:tc>
          <w:tcPr>
            <w:tcW w:type="dxa" w:w="2880"/>
          </w:tcPr>
          <w:p>
            <w:r>
              <w:t>Voorbeelden</w:t>
            </w:r>
          </w:p>
        </w:tc>
        <w:tc>
          <w:tcPr>
            <w:tcW w:type="dxa" w:w="2880"/>
          </w:tcPr>
          <w:p>
            <w:r>
              <w:t>Belangrijk werkingspunt</w:t>
            </w:r>
          </w:p>
        </w:tc>
      </w:tr>
      <w:tr>
        <w:tc>
          <w:tcPr>
            <w:tcW w:type="dxa" w:w="2880"/>
          </w:tcPr>
          <w:p>
            <w:r>
              <w:t>Calcineurineremmers</w:t>
            </w:r>
          </w:p>
        </w:tc>
        <w:tc>
          <w:tcPr>
            <w:tcW w:type="dxa" w:w="2880"/>
          </w:tcPr>
          <w:p>
            <w:r>
              <w:t>Cyclosporine, tacrolimus</w:t>
            </w:r>
          </w:p>
        </w:tc>
        <w:tc>
          <w:tcPr>
            <w:tcW w:type="dxa" w:w="2880"/>
          </w:tcPr>
          <w:p>
            <w:r>
              <w:t>Remmen T-celactivatie via calcineurine/NFAT en daarmee IL-2-gerelateerde activatie</w:t>
            </w:r>
          </w:p>
        </w:tc>
      </w:tr>
      <w:tr>
        <w:tc>
          <w:tcPr>
            <w:tcW w:type="dxa" w:w="2880"/>
          </w:tcPr>
          <w:p>
            <w:r>
              <w:t>mTOR-remmers</w:t>
            </w:r>
          </w:p>
        </w:tc>
        <w:tc>
          <w:tcPr>
            <w:tcW w:type="dxa" w:w="2880"/>
          </w:tcPr>
          <w:p>
            <w:r>
              <w:t>Sirolimus, everolimus</w:t>
            </w:r>
          </w:p>
        </w:tc>
        <w:tc>
          <w:tcPr>
            <w:tcW w:type="dxa" w:w="2880"/>
          </w:tcPr>
          <w:p>
            <w:r>
              <w:t>Remmen celgroei en celdeling</w:t>
            </w:r>
          </w:p>
        </w:tc>
      </w:tr>
      <w:tr>
        <w:tc>
          <w:tcPr>
            <w:tcW w:type="dxa" w:w="2880"/>
          </w:tcPr>
          <w:p>
            <w:r>
              <w:t>Antimetabolieten</w:t>
            </w:r>
          </w:p>
        </w:tc>
        <w:tc>
          <w:tcPr>
            <w:tcW w:type="dxa" w:w="2880"/>
          </w:tcPr>
          <w:p>
            <w:r>
              <w:t>Azathioprine, mycofenolaatmofetil</w:t>
            </w:r>
          </w:p>
        </w:tc>
        <w:tc>
          <w:tcPr>
            <w:tcW w:type="dxa" w:w="2880"/>
          </w:tcPr>
          <w:p>
            <w:r>
              <w:t>Remmen purine- en DNA-synthese</w:t>
            </w:r>
          </w:p>
        </w:tc>
      </w:tr>
      <w:tr>
        <w:tc>
          <w:tcPr>
            <w:tcW w:type="dxa" w:w="2880"/>
          </w:tcPr>
          <w:p>
            <w:r>
              <w:t>Corticosteroïden</w:t>
            </w:r>
          </w:p>
        </w:tc>
        <w:tc>
          <w:tcPr>
            <w:tcW w:type="dxa" w:w="2880"/>
          </w:tcPr>
          <w:p>
            <w:r>
              <w:t>Prednison, prednisolon, methylprednisolon</w:t>
            </w:r>
          </w:p>
        </w:tc>
        <w:tc>
          <w:tcPr>
            <w:tcW w:type="dxa" w:w="2880"/>
          </w:tcPr>
          <w:p>
            <w:r>
              <w:t>Remmen ontsteking en immuunactiviteit</w:t>
            </w:r>
          </w:p>
        </w:tc>
      </w:tr>
      <w:tr>
        <w:tc>
          <w:tcPr>
            <w:tcW w:type="dxa" w:w="2880"/>
          </w:tcPr>
          <w:p>
            <w:r>
              <w:t>Costimulatieblokkers</w:t>
            </w:r>
          </w:p>
        </w:tc>
        <w:tc>
          <w:tcPr>
            <w:tcW w:type="dxa" w:w="2880"/>
          </w:tcPr>
          <w:p>
            <w:r>
              <w:t>Belatacept, abatacept</w:t>
            </w:r>
          </w:p>
        </w:tc>
        <w:tc>
          <w:tcPr>
            <w:tcW w:type="dxa" w:w="2880"/>
          </w:tcPr>
          <w:p>
            <w:r>
              <w:t>Blokkeren de costimulatie tussen antigeenpresenterende cel en T-cel</w:t>
            </w:r>
          </w:p>
        </w:tc>
      </w:tr>
      <w:tr>
        <w:tc>
          <w:tcPr>
            <w:tcW w:type="dxa" w:w="2880"/>
          </w:tcPr>
          <w:p>
            <w:r>
              <w:t>Inductietherapie</w:t>
            </w:r>
          </w:p>
        </w:tc>
        <w:tc>
          <w:tcPr>
            <w:tcW w:type="dxa" w:w="2880"/>
          </w:tcPr>
          <w:p>
            <w:r>
              <w:t>Basiliximab, anti-thymocyte globulinen</w:t>
            </w:r>
          </w:p>
        </w:tc>
        <w:tc>
          <w:tcPr>
            <w:tcW w:type="dxa" w:w="2880"/>
          </w:tcPr>
          <w:p>
            <w:r>
              <w:t>Verminderen of remmen T-celactiviteit sterk</w:t>
            </w:r>
          </w:p>
        </w:tc>
      </w:tr>
    </w:tbl>
    <w:p>
      <w:r>
        <w:t>De kern van de afweerreactie zit vooral in de activatie van T-cellen. Een antigeenpresenterende cel presenteert antigeen via MHC, waarna via costimulatie en intracellulaire signaalroutes de T-cel actief wordt. Daarna volgen replicatie, differentiatie en activatie van andere immuuncellen. Immunosuppressiva grijpen op verschillende plekken in die keten aan.</w:t>
      </w:r>
    </w:p>
    <w:p>
      <w:r>
        <w:rPr>
          <w:b/>
        </w:rPr>
        <w:t>Aandachtsvraag:</w:t>
      </w:r>
      <w:r>
        <w:t xml:space="preserve"> Maakt de merknaam van het middel uit voor het risico?  </w:t>
        <w:br/>
      </w:r>
      <w:r>
        <w:rPr>
          <w:b/>
        </w:rPr>
        <w:t>Kort antwoord:</w:t>
      </w:r>
      <w:r>
        <w:t xml:space="preserve"> Nee, vooral de duur, dosis en combinatie van immunosuppressiva zijn bepalend.</w:t>
      </w:r>
    </w:p>
    <w:p>
      <w:pPr>
        <w:pStyle w:val="Heading4"/>
      </w:pPr>
      <w:r>
        <w:t>Toxiciteit van immunosuppressiva</w:t>
      </w:r>
    </w:p>
    <w:p>
      <w:r>
        <w:t>Te veel immunosuppressie geeft duidelijke nadelen. De belangrijkste toxiciteiten zijn:</w:t>
      </w:r>
    </w:p>
    <w:p>
      <w:pPr>
        <w:pStyle w:val="ListBullet"/>
      </w:pPr>
      <w:r>
        <w:t>een verhoogde incidentie van infecties;</w:t>
      </w:r>
    </w:p>
    <w:p>
      <w:pPr>
        <w:pStyle w:val="ListBullet"/>
      </w:pPr>
      <w:r>
        <w:t>een verhoogd risico op hart- en vaatziekten;</w:t>
      </w:r>
    </w:p>
    <w:p>
      <w:pPr>
        <w:pStyle w:val="ListBullet"/>
      </w:pPr>
      <w:r>
        <w:t>een verhoogde kans op kanker.</w:t>
      </w:r>
    </w:p>
    <w:p>
      <w:r>
        <w:t>De infectierisico’s zijn logisch: het afweersysteem wordt immers onderdrukt, waardoor bacteriële, virale en parasitaire infecties vaker optreden.</w:t>
      </w:r>
    </w:p>
    <w:p>
      <w:r>
        <w:t>Bij transplantatiepatiënten wordt ook een hogere incidentie van hart- en vaatziekten gezien. Dat heeft deels te maken met de conditie van de patiënt vóór de transplantatie, maar ook met bijwerkingen van de immunosuppressiva, zoals hypertensie en hyperlipidemie. Deze werken ongunstig op het cardiovasculaire risico.</w:t>
      </w:r>
    </w:p>
    <w:p>
      <w:r>
        <w:t>Daarnaast neemt de kans op maligniteiten toe. Het immuunsysteem speelt namelijk een belangrijke rol in tumor surveillance: het herkennen van afwijkende cellen en het opruimen daarvan. Als die afweer vermindert, kan tumorvorming makkelijker ontstaan.</w:t>
      </w:r>
    </w:p>
    <w:p>
      <w:pPr>
        <w:pStyle w:val="Heading4"/>
      </w:pPr>
      <w:r>
        <w:t>Waarom is het risico op plaveiselcelcarcinoom zo sterk verhoogd?</w:t>
      </w:r>
    </w:p>
    <w:p>
      <w:r>
        <w:t xml:space="preserve">Patiënten die immunosuppressiva gebruiken na orgaantransplantatie hebben een zeer sterk verhoogd risico op plaveiselcelcarcinoom (PCC). In deze groep is het risico ongeveer </w:t>
      </w:r>
      <w:r>
        <w:rPr>
          <w:b/>
        </w:rPr>
        <w:t>65–100 keer hoger</w:t>
      </w:r>
      <w:r>
        <w:t xml:space="preserve"> dan bij gezonde mensen. Bovendien ontwikkelen patiënten vaak niet één, maar meerdere plaveiselcelcarcinomen.</w:t>
      </w:r>
    </w:p>
    <w:p>
      <w:r>
        <w:t>Dat hoge risico hangt samen met meerdere factoren:</w:t>
      </w:r>
    </w:p>
    <w:p>
      <w:pPr>
        <w:pStyle w:val="ListBullet"/>
      </w:pPr>
      <w:r>
        <w:t xml:space="preserve">de </w:t>
      </w:r>
      <w:r>
        <w:rPr>
          <w:b/>
        </w:rPr>
        <w:t>duur</w:t>
      </w:r>
      <w:r>
        <w:t xml:space="preserve"> van de immunosuppressieve behandeling;</w:t>
      </w:r>
    </w:p>
    <w:p>
      <w:pPr>
        <w:pStyle w:val="ListBullet"/>
      </w:pPr>
      <w:r>
        <w:t xml:space="preserve">de </w:t>
      </w:r>
      <w:r>
        <w:rPr>
          <w:b/>
        </w:rPr>
        <w:t>dosis</w:t>
      </w:r>
      <w:r>
        <w:t xml:space="preserve"> van de medicatie;</w:t>
      </w:r>
    </w:p>
    <w:p>
      <w:pPr>
        <w:pStyle w:val="ListBullet"/>
      </w:pPr>
      <w:r>
        <w:t xml:space="preserve">het gebruik van </w:t>
      </w:r>
      <w:r>
        <w:rPr>
          <w:b/>
        </w:rPr>
        <w:t>meerdere immunosuppressiva tegelijk</w:t>
      </w:r>
      <w:r>
        <w:t>;</w:t>
      </w:r>
    </w:p>
    <w:p>
      <w:pPr>
        <w:pStyle w:val="ListBullet"/>
      </w:pPr>
      <w:r>
        <w:rPr>
          <w:b/>
        </w:rPr>
        <w:t>onbeschermde zonexpositie vóór</w:t>
      </w:r>
      <w:r>
        <w:t xml:space="preserve"> het starten van de medicatie.</w:t>
      </w:r>
    </w:p>
    <w:p>
      <w:r>
        <w:t>De merknaam van het immunosuppressivum maakt hierbij niet uit; het gaat om de totale belasting van immunosuppressie. Een hogere dosis en een langere gebruiksduur geven meer risico.</w:t>
      </w:r>
    </w:p>
    <w:p>
      <w:r>
        <w:t>Bepaalde organen vragen vaker en hogere doseringen immunosuppressie. Hart- en longtransplantaties gaan doorgaans gepaard met meer verschillende vormen en hogere doseringen immunosuppressieve medicatie dan bijvoorbeeld levertransplantaties. Levertransplantatiepatiënten hebben vaak relatief weinig immunosuppressie nodig om afstoting te voorkomen.</w:t>
      </w:r>
    </w:p>
    <w:p>
      <w:pPr>
        <w:pStyle w:val="Heading5"/>
      </w:pPr>
      <w:r>
        <w:t>Tabel 2. Belangrijkste risicofactoren voor PCC na orgaantransplantatie</w:t>
      </w:r>
    </w:p>
    <w:tbl>
      <w:tblPr>
        <w:tblStyle w:val="TableGrid"/>
        <w:tblW w:type="auto" w:w="0"/>
        <w:tblLook w:firstColumn="1" w:firstRow="1" w:lastColumn="0" w:lastRow="0" w:noHBand="0" w:noVBand="1" w:val="04A0"/>
      </w:tblPr>
      <w:tblGrid>
        <w:gridCol w:w="4320"/>
        <w:gridCol w:w="4320"/>
      </w:tblGrid>
      <w:tr>
        <w:tc>
          <w:tcPr>
            <w:tcW w:type="dxa" w:w="4320"/>
          </w:tcPr>
          <w:p>
            <w:r>
              <w:t>Risicofactor</w:t>
            </w:r>
          </w:p>
        </w:tc>
        <w:tc>
          <w:tcPr>
            <w:tcW w:type="dxa" w:w="4320"/>
          </w:tcPr>
          <w:p>
            <w:r>
              <w:t>Wat je moet onthouden</w:t>
            </w:r>
          </w:p>
        </w:tc>
      </w:tr>
      <w:tr>
        <w:tc>
          <w:tcPr>
            <w:tcW w:type="dxa" w:w="4320"/>
          </w:tcPr>
          <w:p>
            <w:r>
              <w:t>Witte/Caucasische huid</w:t>
            </w:r>
          </w:p>
        </w:tc>
        <w:tc>
          <w:tcPr>
            <w:tcW w:type="dxa" w:w="4320"/>
          </w:tcPr>
          <w:p>
            <w:r>
              <w:t>Verhoogt het risico</w:t>
            </w:r>
          </w:p>
        </w:tc>
      </w:tr>
      <w:tr>
        <w:tc>
          <w:tcPr>
            <w:tcW w:type="dxa" w:w="4320"/>
          </w:tcPr>
          <w:p>
            <w:r>
              <w:t>Leeftijd 50 jaar of ouder op het moment van transplantatie</w:t>
            </w:r>
          </w:p>
        </w:tc>
        <w:tc>
          <w:tcPr>
            <w:tcW w:type="dxa" w:w="4320"/>
          </w:tcPr>
          <w:p>
            <w:r>
              <w:t>Verhoogt het risico</w:t>
            </w:r>
          </w:p>
        </w:tc>
      </w:tr>
      <w:tr>
        <w:tc>
          <w:tcPr>
            <w:tcW w:type="dxa" w:w="4320"/>
          </w:tcPr>
          <w:p>
            <w:r>
              <w:t>Mannelijk geslacht</w:t>
            </w:r>
          </w:p>
        </w:tc>
        <w:tc>
          <w:tcPr>
            <w:tcW w:type="dxa" w:w="4320"/>
          </w:tcPr>
          <w:p>
            <w:r>
              <w:t>Verhoogt het risico</w:t>
            </w:r>
          </w:p>
        </w:tc>
      </w:tr>
      <w:tr>
        <w:tc>
          <w:tcPr>
            <w:tcW w:type="dxa" w:w="4320"/>
          </w:tcPr>
          <w:p>
            <w:r>
              <w:t>Voorgeschiedenis van huidkanker</w:t>
            </w:r>
          </w:p>
        </w:tc>
        <w:tc>
          <w:tcPr>
            <w:tcW w:type="dxa" w:w="4320"/>
          </w:tcPr>
          <w:p>
            <w:r>
              <w:t>Sterke risicofactor</w:t>
            </w:r>
          </w:p>
        </w:tc>
      </w:tr>
      <w:tr>
        <w:tc>
          <w:tcPr>
            <w:tcW w:type="dxa" w:w="4320"/>
          </w:tcPr>
          <w:p>
            <w:r>
              <w:t>Hart- of longtransplantatie</w:t>
            </w:r>
          </w:p>
        </w:tc>
        <w:tc>
          <w:tcPr>
            <w:tcW w:type="dxa" w:w="4320"/>
          </w:tcPr>
          <w:p>
            <w:r>
              <w:t>Verhoogt het risico duidelijk</w:t>
            </w:r>
          </w:p>
        </w:tc>
      </w:tr>
      <w:tr>
        <w:tc>
          <w:tcPr>
            <w:tcW w:type="dxa" w:w="4320"/>
          </w:tcPr>
          <w:p>
            <w:r>
              <w:t>Langere duur van immunosuppressie</w:t>
            </w:r>
          </w:p>
        </w:tc>
        <w:tc>
          <w:tcPr>
            <w:tcW w:type="dxa" w:w="4320"/>
          </w:tcPr>
          <w:p>
            <w:r>
              <w:t>Risico neemt toe met de tijd</w:t>
            </w:r>
          </w:p>
        </w:tc>
      </w:tr>
      <w:tr>
        <w:tc>
          <w:tcPr>
            <w:tcW w:type="dxa" w:w="4320"/>
          </w:tcPr>
          <w:p>
            <w:r>
              <w:t>Hogere dosis immunosuppressiva</w:t>
            </w:r>
          </w:p>
        </w:tc>
        <w:tc>
          <w:tcPr>
            <w:tcW w:type="dxa" w:w="4320"/>
          </w:tcPr>
          <w:p>
            <w:r>
              <w:t>Risico neemt toe met de dosis</w:t>
            </w:r>
          </w:p>
        </w:tc>
      </w:tr>
      <w:tr>
        <w:tc>
          <w:tcPr>
            <w:tcW w:type="dxa" w:w="4320"/>
          </w:tcPr>
          <w:p>
            <w:r>
              <w:t>Meerdere immunosuppressiva tegelijk</w:t>
            </w:r>
          </w:p>
        </w:tc>
        <w:tc>
          <w:tcPr>
            <w:tcW w:type="dxa" w:w="4320"/>
          </w:tcPr>
          <w:p>
            <w:r>
              <w:t>Verhoogt het risico</w:t>
            </w:r>
          </w:p>
        </w:tc>
      </w:tr>
      <w:tr>
        <w:tc>
          <w:tcPr>
            <w:tcW w:type="dxa" w:w="4320"/>
          </w:tcPr>
          <w:p>
            <w:r>
              <w:t>Onbeschermde zonexpositie vóór start van medicatie</w:t>
            </w:r>
          </w:p>
        </w:tc>
        <w:tc>
          <w:tcPr>
            <w:tcW w:type="dxa" w:w="4320"/>
          </w:tcPr>
          <w:p>
            <w:r>
              <w:t>Speelt een belangrijke rol</w:t>
            </w:r>
          </w:p>
        </w:tc>
      </w:tr>
    </w:tbl>
    <w:p>
      <w:r>
        <w:t>Een belangrijke klinische observatie is dat patiënten met een eerdere huidkanker in de voorgeschiedenis duidelijk meer risico lopen. Mannelijk geslacht is ook een risicofactor. Een donkere huid en een jongere leeftijd zijn geen risicofactoren in dit kader.</w:t>
      </w:r>
    </w:p>
    <w:p>
      <w:r>
        <w:rPr>
          <w:b/>
        </w:rPr>
        <w:t>Aandachtsvraag:</w:t>
      </w:r>
      <w:r>
        <w:t xml:space="preserve"> Waarom is zonblootstelling zo belangrijk?  </w:t>
        <w:br/>
      </w:r>
      <w:r>
        <w:rPr>
          <w:b/>
        </w:rPr>
        <w:t>Kort antwoord:</w:t>
      </w:r>
      <w:r>
        <w:t xml:space="preserve"> Omdat UV-schade een grote rol speelt bij het ontstaan van huidkanker, en dat risico wordt versterkt door immunosuppressie.</w:t>
      </w:r>
    </w:p>
    <w:p>
      <w:pPr>
        <w:pStyle w:val="Heading4"/>
      </w:pPr>
      <w:r>
        <w:t>Welke immunosuppressiva zijn vooral relevant bij huidkanker?</w:t>
      </w:r>
    </w:p>
    <w:p>
      <w:r>
        <w:t>Niet elk middel heeft precies hetzelfde effect op het risico op plaveiselcelcarcinoom. In deze stof worden vooral een aantal middelen benadrukt:</w:t>
      </w:r>
    </w:p>
    <w:p>
      <w:pPr>
        <w:pStyle w:val="ListBullet"/>
      </w:pPr>
      <w:r>
        <w:rPr>
          <w:b/>
        </w:rPr>
        <w:t>Cyclosporine</w:t>
      </w:r>
      <w:r>
        <w:t>: minder celapoptose na UV-schade; toename van TGFβ, wat geassocieerd is met tumorinvasie, metastase en verhoogde angiogenese.</w:t>
      </w:r>
    </w:p>
    <w:p>
      <w:pPr>
        <w:pStyle w:val="ListBullet"/>
      </w:pPr>
      <w:r>
        <w:rPr>
          <w:b/>
        </w:rPr>
        <w:t>Azathioprine</w:t>
      </w:r>
      <w:r>
        <w:t>: metabolieten worden ingebouwd in DNA, waardoor vooral na UVA-blootstelling DNA-schade kan ontstaan; er is een specifiek mutatiepatroon te zien.</w:t>
      </w:r>
    </w:p>
    <w:p>
      <w:pPr>
        <w:pStyle w:val="ListBullet"/>
      </w:pPr>
      <w:r>
        <w:rPr>
          <w:b/>
        </w:rPr>
        <w:t>Tacrolimus</w:t>
      </w:r>
      <w:r>
        <w:t>: mogelijk minder spontane en UVB-geïnduceerde DNA-reparatiemechanismen; ook hier wordt toename van TGFβ genoemd.</w:t>
      </w:r>
    </w:p>
    <w:p>
      <w:pPr>
        <w:pStyle w:val="ListBullet"/>
      </w:pPr>
      <w:r>
        <w:rPr>
          <w:b/>
        </w:rPr>
        <w:t>Mycofenolaatmofetil</w:t>
      </w:r>
      <w:r>
        <w:t>: mogelijk minder UVB-geïnduceerde DNA-reparatiemechanismen.</w:t>
      </w:r>
    </w:p>
    <w:p>
      <w:r>
        <w:t xml:space="preserve">Bij hoge dosering van </w:t>
      </w:r>
      <w:r>
        <w:rPr>
          <w:b/>
        </w:rPr>
        <w:t>tacrolimus</w:t>
      </w:r>
      <w:r>
        <w:t xml:space="preserve"> en </w:t>
      </w:r>
      <w:r>
        <w:rPr>
          <w:b/>
        </w:rPr>
        <w:t>cyclosporine</w:t>
      </w:r>
      <w:r>
        <w:t xml:space="preserve"> is het risico op huidkanker duidelijk verhoogd. Dit past bij het beeld dat niet alleen de transplantatie zelf, maar ook de intensiteit van de immunosuppressie bepalend is voor de kans op PCC.</w:t>
      </w:r>
    </w:p>
    <w:p>
      <w:pPr>
        <w:pStyle w:val="Heading4"/>
      </w:pPr>
      <w:r>
        <w:t>Wie moet je screenen?</w:t>
      </w:r>
    </w:p>
    <w:p>
      <w:r>
        <w:t>Bij transplantatiepatiënten is dermatologische screening van belang, maar de precieze benadering hangt af van het risicoprofiel.</w:t>
      </w:r>
    </w:p>
    <w:p>
      <w:r>
        <w:t>Er worden drie groepen genoemd:</w:t>
      </w:r>
    </w:p>
    <w:p>
      <w:pPr>
        <w:pStyle w:val="ListBullet"/>
      </w:pPr>
      <w:r>
        <w:rPr>
          <w:b/>
        </w:rPr>
        <w:t>patiënten met immunosuppressiva na transplantatie</w:t>
      </w:r>
      <w:r>
        <w:t>: screening is nodig, maar hoe vaak hangt af van het risico;</w:t>
      </w:r>
    </w:p>
    <w:p>
      <w:pPr>
        <w:pStyle w:val="ListBullet"/>
      </w:pPr>
      <w:r>
        <w:rPr>
          <w:b/>
        </w:rPr>
        <w:t>patiënten met hematologische maligniteiten</w:t>
      </w:r>
      <w:r>
        <w:t>, zoals CLL: screenen lijkt minder zinvol;</w:t>
      </w:r>
    </w:p>
    <w:p>
      <w:pPr>
        <w:pStyle w:val="ListBullet"/>
      </w:pPr>
      <w:r>
        <w:rPr>
          <w:b/>
        </w:rPr>
        <w:t>patiënten op andere immuunmodulerende middelen</w:t>
      </w:r>
      <w:r>
        <w:t>, zoals biologische therapieën: dit wordt niet beschouwd als voldoende extra risico om routine screening te rechtvaardigen.</w:t>
      </w:r>
    </w:p>
    <w:p>
      <w:r>
        <w:t xml:space="preserve">Voor transplantatiepatiënten kan het risico worden ingeschat met een klinisch model, de </w:t>
      </w:r>
      <w:r>
        <w:rPr>
          <w:b/>
        </w:rPr>
        <w:t>SUNTRAC-tool</w:t>
      </w:r>
      <w:r>
        <w:t>. Die kijkt onder andere naar huidskleur, leeftijd bij transplantatie, eerdere huidkanker, geslacht en het type transplantatie. De boodschap is duidelijk: het gaat om een individuele risico-inschatting.</w:t>
      </w:r>
    </w:p>
    <w:p>
      <w:pPr>
        <w:pStyle w:val="Heading5"/>
      </w:pPr>
      <w:r>
        <w:t>Tabel 3. Risicocategorie en screeninginterval</w:t>
      </w:r>
    </w:p>
    <w:tbl>
      <w:tblPr>
        <w:tblStyle w:val="TableGrid"/>
        <w:tblW w:type="auto" w:w="0"/>
        <w:tblLook w:firstColumn="1" w:firstRow="1" w:lastColumn="0" w:lastRow="0" w:noHBand="0" w:noVBand="1" w:val="04A0"/>
      </w:tblPr>
      <w:tblGrid>
        <w:gridCol w:w="2880"/>
        <w:gridCol w:w="2880"/>
        <w:gridCol w:w="2880"/>
      </w:tblGrid>
      <w:tr>
        <w:tc>
          <w:tcPr>
            <w:tcW w:type="dxa" w:w="2880"/>
          </w:tcPr>
          <w:p>
            <w:r>
              <w:t>Risicocategorie</w:t>
            </w:r>
          </w:p>
        </w:tc>
        <w:tc>
          <w:tcPr>
            <w:tcW w:type="dxa" w:w="2880"/>
          </w:tcPr>
          <w:p>
            <w:r>
              <w:t>Gemiddeld risico</w:t>
            </w:r>
          </w:p>
        </w:tc>
        <w:tc>
          <w:tcPr>
            <w:tcW w:type="dxa" w:w="2880"/>
          </w:tcPr>
          <w:p>
            <w:r>
              <w:t>Advies voor screening</w:t>
            </w:r>
          </w:p>
        </w:tc>
      </w:tr>
      <w:tr>
        <w:tc>
          <w:tcPr>
            <w:tcW w:type="dxa" w:w="2880"/>
          </w:tcPr>
          <w:p>
            <w:r>
              <w:t>Laag risico</w:t>
            </w:r>
          </w:p>
        </w:tc>
        <w:tc>
          <w:tcPr>
            <w:tcW w:type="dxa" w:w="2880"/>
          </w:tcPr>
          <w:p>
            <w:r>
              <w:t>ongeveer 2% 10-jaarsrisico</w:t>
            </w:r>
          </w:p>
        </w:tc>
        <w:tc>
          <w:tcPr>
            <w:tcW w:type="dxa" w:w="2880"/>
          </w:tcPr>
          <w:p>
            <w:r>
              <w:t>Screening binnen 10 jaar na transplantatie</w:t>
            </w:r>
          </w:p>
        </w:tc>
      </w:tr>
      <w:tr>
        <w:tc>
          <w:tcPr>
            <w:tcW w:type="dxa" w:w="2880"/>
          </w:tcPr>
          <w:p>
            <w:r>
              <w:t>Matig risico</w:t>
            </w:r>
          </w:p>
        </w:tc>
        <w:tc>
          <w:tcPr>
            <w:tcW w:type="dxa" w:w="2880"/>
          </w:tcPr>
          <w:p>
            <w:r>
              <w:t>ongeveer 14% 10-jaarsrisico</w:t>
            </w:r>
          </w:p>
        </w:tc>
        <w:tc>
          <w:tcPr>
            <w:tcW w:type="dxa" w:w="2880"/>
          </w:tcPr>
          <w:p>
            <w:r>
              <w:t>Screening binnen 2 jaar na transplantatie</w:t>
            </w:r>
          </w:p>
        </w:tc>
      </w:tr>
      <w:tr>
        <w:tc>
          <w:tcPr>
            <w:tcW w:type="dxa" w:w="2880"/>
          </w:tcPr>
          <w:p>
            <w:r>
              <w:t>Hoog risico</w:t>
            </w:r>
          </w:p>
        </w:tc>
        <w:tc>
          <w:tcPr>
            <w:tcW w:type="dxa" w:w="2880"/>
          </w:tcPr>
          <w:p>
            <w:r>
              <w:t>ongeveer 32% 10-jaarsrisico</w:t>
            </w:r>
          </w:p>
        </w:tc>
        <w:tc>
          <w:tcPr>
            <w:tcW w:type="dxa" w:w="2880"/>
          </w:tcPr>
          <w:p>
            <w:r>
              <w:t>Screening binnen 1 jaar na transplantatie</w:t>
            </w:r>
          </w:p>
        </w:tc>
      </w:tr>
      <w:tr>
        <w:tc>
          <w:tcPr>
            <w:tcW w:type="dxa" w:w="2880"/>
          </w:tcPr>
          <w:p>
            <w:r>
              <w:t>Zeer hoog risico</w:t>
            </w:r>
          </w:p>
        </w:tc>
        <w:tc>
          <w:tcPr>
            <w:tcW w:type="dxa" w:w="2880"/>
          </w:tcPr>
          <w:p>
            <w:r>
              <w:t>ongeveer 75% 10-jaarsrisico</w:t>
            </w:r>
          </w:p>
        </w:tc>
        <w:tc>
          <w:tcPr>
            <w:tcW w:type="dxa" w:w="2880"/>
          </w:tcPr>
          <w:p>
            <w:r>
              <w:t>Screening binnen 6 maanden na transplantatie</w:t>
            </w:r>
          </w:p>
        </w:tc>
      </w:tr>
    </w:tbl>
    <w:p>
      <w:r>
        <w:t xml:space="preserve">De boodschap van deze indeling is dat het risico snel kan oplopen. Zeker bij patiënten die al een PCC hebben gehad, is de kans op een tweede PCC groot. De kans op een tweede plaveiselcelcarcinoom binnen 5 jaar is ongeveer </w:t>
      </w:r>
      <w:r>
        <w:rPr>
          <w:b/>
        </w:rPr>
        <w:t>74%</w:t>
      </w:r>
      <w:r>
        <w:t>.</w:t>
      </w:r>
    </w:p>
    <w:p>
      <w:pPr>
        <w:pStyle w:val="Heading4"/>
      </w:pPr>
      <w:r>
        <w:t>Chemopreventie en follow-up</w:t>
      </w:r>
    </w:p>
    <w:p>
      <w:r>
        <w:t>Omdat het risico op huidkanker zo hoog is, zijn follow-up en chemopreventie belangrijk. Een klinische inschatting van het risico helpt om te bepalen hoe snel iemand gecontroleerd moet worden.</w:t>
      </w:r>
    </w:p>
    <w:p>
      <w:r>
        <w:t>De standaardlijn in de lokale praktijk is:</w:t>
      </w:r>
    </w:p>
    <w:p>
      <w:pPr>
        <w:pStyle w:val="ListBullet"/>
      </w:pPr>
      <w:r>
        <w:rPr>
          <w:b/>
        </w:rPr>
        <w:t>direct na transplantatie</w:t>
      </w:r>
      <w:r>
        <w:t xml:space="preserve"> eenmalige voorlichting over risico, huidinspectie en zonprotectie;</w:t>
      </w:r>
    </w:p>
    <w:p>
      <w:pPr>
        <w:pStyle w:val="ListBullet"/>
      </w:pPr>
      <w:r>
        <w:t xml:space="preserve">in de reguliere follow-up </w:t>
      </w:r>
      <w:r>
        <w:rPr>
          <w:b/>
        </w:rPr>
        <w:t>pas na de eerste huidmaligniteit</w:t>
      </w:r>
      <w:r>
        <w:t xml:space="preserve"> verdere huidcontrole;</w:t>
      </w:r>
    </w:p>
    <w:p>
      <w:pPr>
        <w:pStyle w:val="ListBullet"/>
      </w:pPr>
      <w:r>
        <w:t xml:space="preserve">als er al huidmaligniteiten in de voorgeschiedenis zijn, of als die bij screening worden ontdekt, dan moet de patiënt </w:t>
      </w:r>
      <w:r>
        <w:rPr>
          <w:b/>
        </w:rPr>
        <w:t>direct</w:t>
      </w:r>
      <w:r>
        <w:t xml:space="preserve"> in follow-up.</w:t>
      </w:r>
    </w:p>
    <w:p>
      <w:r>
        <w:t>Dat betekent dat de eerste stap altijd voorlichting is. Zelf de huid leren inspecteren en zonbescherming toepassen zijn dus belangrijke onderdelen van de zorg.</w:t>
      </w:r>
    </w:p>
    <w:p>
      <w:pPr>
        <w:pStyle w:val="Heading5"/>
      </w:pPr>
      <w:r>
        <w:t>Acitretine</w:t>
      </w:r>
    </w:p>
    <w:p>
      <w:r>
        <w:t>Acitretine is een retinoïd, dus een vitamine A-derivaat. Het wordt in de dermatologie gebruikt, vooral bij aandoeningen waarbij hyperkeratose een rol speelt.</w:t>
      </w:r>
    </w:p>
    <w:p>
      <w:r>
        <w:t>Het middel:</w:t>
      </w:r>
    </w:p>
    <w:p>
      <w:pPr>
        <w:pStyle w:val="ListBullet"/>
      </w:pPr>
      <w:r>
        <w:t>verhoogt de dermale collageensynthese;</w:t>
      </w:r>
    </w:p>
    <w:p>
      <w:pPr>
        <w:pStyle w:val="ListBullet"/>
      </w:pPr>
      <w:r>
        <w:t>bevordert normale uitrijping en differentiatie van keratinocyten;</w:t>
      </w:r>
    </w:p>
    <w:p>
      <w:pPr>
        <w:pStyle w:val="ListBullet"/>
      </w:pPr>
      <w:r>
        <w:t>remt UV-geïnduceerde matrix metalloproteïnasen;</w:t>
      </w:r>
    </w:p>
    <w:p>
      <w:pPr>
        <w:pStyle w:val="ListBullet"/>
      </w:pPr>
      <w:r>
        <w:t>remt verdere groei van oncogene cellen;</w:t>
      </w:r>
    </w:p>
    <w:p>
      <w:pPr>
        <w:pStyle w:val="ListBullet"/>
      </w:pPr>
      <w:r>
        <w:t>kan apoptose bevorderen in snel delende tumorcellen.</w:t>
      </w:r>
    </w:p>
    <w:p>
      <w:r>
        <w:t xml:space="preserve">Bij chemopreventie van PCC’s speelt acitretine dus een beschermende rol, zowel door het beperken van genetische schade als door het remmen van celproliferatie. Als het wordt gebruikt bij transplantatiepatiënten met hoog risico, moet het middel </w:t>
      </w:r>
      <w:r>
        <w:rPr>
          <w:b/>
        </w:rPr>
        <w:t>langdurig</w:t>
      </w:r>
      <w:r>
        <w:t xml:space="preserve"> gebruikt worden om effect te zien.</w:t>
      </w:r>
    </w:p>
    <w:p>
      <w:r>
        <w:t>Belangrijk zijn ook de nadelen:</w:t>
      </w:r>
    </w:p>
    <w:p>
      <w:pPr>
        <w:pStyle w:val="ListBullet"/>
      </w:pPr>
      <w:r>
        <w:t xml:space="preserve">in het </w:t>
      </w:r>
      <w:r>
        <w:rPr>
          <w:b/>
        </w:rPr>
        <w:t>eerste trimester</w:t>
      </w:r>
      <w:r>
        <w:t xml:space="preserve"> verhoogt het de kans op spontane abortus en ernstige aangeboren afwijkingen;</w:t>
      </w:r>
    </w:p>
    <w:p>
      <w:pPr>
        <w:pStyle w:val="ListBullet"/>
      </w:pPr>
      <w:r>
        <w:t>er kunnen afwijkingen ontstaan aan het craniofaciale gebied, het cardiovasculaire systeem, het centrale zenuwstelsel, het skelet en de thymus;</w:t>
      </w:r>
    </w:p>
    <w:p>
      <w:pPr>
        <w:pStyle w:val="ListBullet"/>
      </w:pPr>
      <w:r>
        <w:t xml:space="preserve">bekende bijwerkingen zijn </w:t>
      </w:r>
      <w:r>
        <w:rPr>
          <w:b/>
        </w:rPr>
        <w:t>droge slijmvliezen</w:t>
      </w:r>
      <w:r>
        <w:t xml:space="preserve"> en </w:t>
      </w:r>
      <w:r>
        <w:rPr>
          <w:b/>
        </w:rPr>
        <w:t>mucositis</w:t>
      </w:r>
      <w:r>
        <w:t>.</w:t>
      </w:r>
    </w:p>
    <w:p>
      <w:r>
        <w:t>In de besproken afweging wordt genoemd dat vroeg starten met acitretine, bijvoorbeeld al na de eerste of een beperkt aantal PCC’s, liberaler kan zijn dan de reguliere richtlijn.</w:t>
      </w:r>
    </w:p>
    <w:p>
      <w:pPr>
        <w:pStyle w:val="Heading5"/>
      </w:pPr>
      <w:r>
        <w:t>mTOR-remmers</w:t>
      </w:r>
    </w:p>
    <w:p>
      <w:r>
        <w:t xml:space="preserve">Na een eerste huidmaligniteit kan een switch naar een </w:t>
      </w:r>
      <w:r>
        <w:rPr>
          <w:b/>
        </w:rPr>
        <w:t>mTOR-remmer</w:t>
      </w:r>
      <w:r>
        <w:t xml:space="preserve"> worden overwogen. Ook kan worden overwogen om bij iemand met al een PCC in de voorgeschiedenis direct na transplantatie te starten met een mTOR-remmer.</w:t>
      </w:r>
    </w:p>
    <w:p>
      <w:r>
        <w:t>Voorbeelden zijn:</w:t>
      </w:r>
    </w:p>
    <w:p>
      <w:pPr>
        <w:pStyle w:val="ListBullet"/>
      </w:pPr>
      <w:r>
        <w:rPr>
          <w:b/>
        </w:rPr>
        <w:t>sirolimus</w:t>
      </w:r>
    </w:p>
    <w:p>
      <w:pPr>
        <w:pStyle w:val="ListBullet"/>
      </w:pPr>
      <w:r>
        <w:rPr>
          <w:b/>
        </w:rPr>
        <w:t>everolimus</w:t>
      </w:r>
    </w:p>
    <w:p>
      <w:r>
        <w:t>Deze middelen passen binnen de strategie om het huidkankerrisico verder te verminderen.</w:t>
      </w:r>
    </w:p>
    <w:p>
      <w:pPr>
        <w:pStyle w:val="Heading4"/>
      </w:pPr>
      <w:r>
        <w:t>Samenvattend klinisch beeld</w:t>
      </w:r>
    </w:p>
    <w:p>
      <w:r>
        <w:t>Orgaantransplantatie is levensreddend, maar vraagt om langdurige immunosuppressie. Juist die immunosuppressie geeft belangrijke complicaties: infecties, cardiovasculaire problemen en vooral een sterk verhoogde kans op maligniteiten, met name plaveiselcelcarcinoom van de huid.</w:t>
      </w:r>
    </w:p>
    <w:p>
      <w:r>
        <w:t>De kans op PCC wordt vooral bepaald door:</w:t>
      </w:r>
    </w:p>
    <w:p>
      <w:pPr>
        <w:pStyle w:val="ListBullet"/>
      </w:pPr>
      <w:r>
        <w:t>duur van de immunosuppressie;</w:t>
      </w:r>
    </w:p>
    <w:p>
      <w:pPr>
        <w:pStyle w:val="ListBullet"/>
      </w:pPr>
      <w:r>
        <w:t>dosering;</w:t>
      </w:r>
    </w:p>
    <w:p>
      <w:pPr>
        <w:pStyle w:val="ListBullet"/>
      </w:pPr>
      <w:r>
        <w:t>combinatie van middelen;</w:t>
      </w:r>
    </w:p>
    <w:p>
      <w:pPr>
        <w:pStyle w:val="ListBullet"/>
      </w:pPr>
      <w:r>
        <w:t>eerdere zonblootstelling;</w:t>
      </w:r>
    </w:p>
    <w:p>
      <w:pPr>
        <w:pStyle w:val="ListBullet"/>
      </w:pPr>
      <w:r>
        <w:t>individuele patiëntkenmerken zoals witte huid, oudere leeftijd bij transplantatie, mannelijk geslacht, eerdere huidkanker en hart- of longtransplantatie.</w:t>
      </w:r>
    </w:p>
    <w:p>
      <w:r>
        <w:t>Daarom zijn risico-inschatting, vroege voorlichting, zonbescherming, huidinspectie en gerichte follow-up essentieel. Chemopreventie met acitretine of een switch naar een mTOR-remmer kan bij geselecteerde patiënten onderdeel zijn van de balans tussen afstoting voorkomen en huidkanker beperken.</w:t>
      </w:r>
    </w:p>
    <w:p>
      <w:pPr>
        <w:pStyle w:val="Heading4"/>
      </w:pPr>
      <w:r>
        <w:t>Samenvatting</w:t>
      </w:r>
    </w:p>
    <w:p>
      <w:r>
        <w:t>Na orgaantransplantatie is immunosuppressie noodzakelijk om afstoting te voorkomen, maar die behandeling geeft belangrijke risico’s zoals infecties, cardiovasculaire schade en maligniteiten. Het risico op plaveiselcelcarcinoom van de huid is bij transplantatiepatiënten zeer sterk verhoogd, vooral bij langdurig en hoog gedoseerd gebruik van immunosuppressiva, bij meerdere middelen tegelijk en bij onbeschermde UV-blootstelling. Voor de follow-up zijn risicostratificatie, zonbescherming, huidinspectie en zo nodig chemopreventie met acitretine of een mTOR-remmer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