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13 – Vasculitis - klein, middel, groot</w:t>
      </w:r>
    </w:p>
    <w:p>
      <w:pPr>
        <w:pStyle w:val="Heading4"/>
      </w:pPr>
      <w:r>
        <w:t>Leerdoelen</w:t>
      </w:r>
    </w:p>
    <w:p>
      <w:r>
        <w:t>Na deze samenvatting kun je:</w:t>
      </w:r>
    </w:p>
    <w:p>
      <w:pPr>
        <w:pStyle w:val="ListBullet"/>
      </w:pPr>
      <w:r>
        <w:t>de pathofysiologie van vasculitis van zowel de grote als de kleine bloedvaten beschrijven;</w:t>
      </w:r>
    </w:p>
    <w:p>
      <w:pPr>
        <w:pStyle w:val="ListBullet"/>
      </w:pPr>
      <w:r>
        <w:t>het diagnostisch traject bij patiënten met een verdenking op vasculitis beschrijven;</w:t>
      </w:r>
    </w:p>
    <w:p>
      <w:pPr>
        <w:pStyle w:val="ListBullet"/>
      </w:pPr>
      <w:r>
        <w:t>op basis van de pathofysiologie een zinvol behandelplan opstellen.</w:t>
      </w:r>
    </w:p>
    <w:p>
      <w:pPr>
        <w:pStyle w:val="Heading4"/>
      </w:pPr>
      <w:r>
        <w:t>Wat is vasculitis?</w:t>
      </w:r>
    </w:p>
    <w:p>
      <w:r>
        <w:t>Vasculitis betekent ontsteking van de bloedvatwand. Dat kan verschillende soorten vaten treffen, en juist de grootte van het aangedane vat is heel belangrijk voor het type vasculitis, de klachten en de behandeling. Bij een ontstekingsreactie tegen de bloedvatwand spreken we per definitie van een systemische auto-immuunziekte.</w:t>
      </w:r>
    </w:p>
    <w:p>
      <w:r>
        <w:t>Auto-immuunziekten kunnen orgaanspecifiek of systemisch zijn. Bij vasculitis gaat het om een systemische reactie waarbij de bloedvatwand zelf wordt aangevallen. Daardoor kan de bloedtoevoer naar weefsels verminderen en kunnen ischemische klachten ontstaan.</w:t>
      </w:r>
    </w:p>
    <w:p>
      <w:pPr>
        <w:pStyle w:val="Heading4"/>
      </w:pPr>
      <w:r>
        <w:t>Indeling van vasculitiden op basis van vaatgrootte</w:t>
      </w:r>
    </w:p>
    <w:p>
      <w:r>
        <w:t>Vasculitiden worden ingedeeld op basis van de grootte van de bloedvaten die vooral zijn aangedaan. Die indeling is handig, omdat de betrokken vaatgrootte veel zegt over het klinische beeld.</w:t>
      </w:r>
    </w:p>
    <w:p>
      <w:r>
        <w:rPr>
          <w:b/>
        </w:rPr>
        <w:t>Tabel 1. Indeling van vasculitiden op basis van vaatgrootte</w:t>
      </w:r>
    </w:p>
    <w:tbl>
      <w:tblPr>
        <w:tblStyle w:val="TableGrid"/>
        <w:tblW w:type="auto" w:w="0"/>
        <w:tblLook w:firstColumn="1" w:firstRow="1" w:lastColumn="0" w:lastRow="0" w:noHBand="0" w:noVBand="1" w:val="04A0"/>
      </w:tblPr>
      <w:tblGrid>
        <w:gridCol w:w="2880"/>
        <w:gridCol w:w="2880"/>
        <w:gridCol w:w="2880"/>
      </w:tblGrid>
      <w:tr>
        <w:tc>
          <w:tcPr>
            <w:tcW w:type="dxa" w:w="2880"/>
          </w:tcPr>
          <w:p>
            <w:r>
              <w:t>Type vaat</w:t>
            </w:r>
          </w:p>
        </w:tc>
        <w:tc>
          <w:tcPr>
            <w:tcW w:type="dxa" w:w="2880"/>
          </w:tcPr>
          <w:p>
            <w:r>
              <w:t>Voorbeelden van vaten</w:t>
            </w:r>
          </w:p>
        </w:tc>
        <w:tc>
          <w:tcPr>
            <w:tcW w:type="dxa" w:w="2880"/>
          </w:tcPr>
          <w:p>
            <w:r>
              <w:t>Voorbeelden van vasculitis</w:t>
            </w:r>
          </w:p>
        </w:tc>
      </w:tr>
      <w:tr>
        <w:tc>
          <w:tcPr>
            <w:tcW w:type="dxa" w:w="2880"/>
          </w:tcPr>
          <w:p>
            <w:r>
              <w:t>Grote bloedvaten</w:t>
            </w:r>
          </w:p>
        </w:tc>
        <w:tc>
          <w:tcPr>
            <w:tcW w:type="dxa" w:w="2880"/>
          </w:tcPr>
          <w:p>
            <w:r>
              <w:t>Aorta en grote vertakkingen</w:t>
            </w:r>
          </w:p>
        </w:tc>
        <w:tc>
          <w:tcPr>
            <w:tcW w:type="dxa" w:w="2880"/>
          </w:tcPr>
          <w:p>
            <w:r>
              <w:t>Giant cell arteritis, ziekte van Takayasu</w:t>
            </w:r>
          </w:p>
        </w:tc>
      </w:tr>
      <w:tr>
        <w:tc>
          <w:tcPr>
            <w:tcW w:type="dxa" w:w="2880"/>
          </w:tcPr>
          <w:p>
            <w:r>
              <w:t>Middelgrote bloedvaten</w:t>
            </w:r>
          </w:p>
        </w:tc>
        <w:tc>
          <w:tcPr>
            <w:tcW w:type="dxa" w:w="2880"/>
          </w:tcPr>
          <w:p>
            <w:r>
              <w:t>Arteriën die organen van bloed voorzien, zoals nier- en coronairarteriën</w:t>
            </w:r>
          </w:p>
        </w:tc>
        <w:tc>
          <w:tcPr>
            <w:tcW w:type="dxa" w:w="2880"/>
          </w:tcPr>
          <w:p>
            <w:r>
              <w:t>Middelvatvasculitiden</w:t>
            </w:r>
          </w:p>
        </w:tc>
      </w:tr>
      <w:tr>
        <w:tc>
          <w:tcPr>
            <w:tcW w:type="dxa" w:w="2880"/>
          </w:tcPr>
          <w:p>
            <w:r>
              <w:t>Kleine bloedvaten</w:t>
            </w:r>
          </w:p>
        </w:tc>
        <w:tc>
          <w:tcPr>
            <w:tcW w:type="dxa" w:w="2880"/>
          </w:tcPr>
          <w:p>
            <w:r>
              <w:t>Arteriolen, capillairen en venulen</w:t>
            </w:r>
          </w:p>
        </w:tc>
        <w:tc>
          <w:tcPr>
            <w:tcW w:type="dxa" w:w="2880"/>
          </w:tcPr>
          <w:p>
            <w:r>
              <w:t>ANCA-geassocieerde vasculitis, immuuncomplexvasculitis</w:t>
            </w:r>
          </w:p>
        </w:tc>
      </w:tr>
    </w:tbl>
    <w:p>
      <w:r>
        <w:rPr>
          <w:b/>
        </w:rPr>
        <w:t>Aandacht:</w:t>
      </w:r>
      <w:r>
        <w:t xml:space="preserve"> welk vat hoort bij welke categorie?  </w:t>
        <w:br/>
      </w:r>
      <w:r>
        <w:rPr>
          <w:b/>
        </w:rPr>
        <w:t>Mini-antwoord:</w:t>
      </w:r>
      <w:r>
        <w:t xml:space="preserve"> de </w:t>
      </w:r>
      <w:r>
        <w:rPr>
          <w:b/>
        </w:rPr>
        <w:t>aorta</w:t>
      </w:r>
      <w:r>
        <w:t xml:space="preserve"> is een groot bloedvat, een </w:t>
      </w:r>
      <w:r>
        <w:rPr>
          <w:b/>
        </w:rPr>
        <w:t>nierarterie</w:t>
      </w:r>
      <w:r>
        <w:t xml:space="preserve"> of </w:t>
      </w:r>
      <w:r>
        <w:rPr>
          <w:b/>
        </w:rPr>
        <w:t>coronairarterie</w:t>
      </w:r>
      <w:r>
        <w:t xml:space="preserve"> is middelgroot, en een </w:t>
      </w:r>
      <w:r>
        <w:rPr>
          <w:b/>
        </w:rPr>
        <w:t>glomerulus</w:t>
      </w:r>
      <w:r>
        <w:t xml:space="preserve"> hoort bij de kleine bloedvaten.</w:t>
      </w:r>
    </w:p>
    <w:p>
      <w:pPr>
        <w:pStyle w:val="Heading4"/>
      </w:pPr>
      <w:r>
        <w:t>Vasculitis van de grote bloedvaten</w:t>
      </w:r>
    </w:p>
    <w:p>
      <w:r>
        <w:t xml:space="preserve">Bij de grote-vatenvasculitiden gaat het vooral om de </w:t>
      </w:r>
      <w:r>
        <w:rPr>
          <w:b/>
        </w:rPr>
        <w:t>giant cell arteritis (GCA)</w:t>
      </w:r>
      <w:r>
        <w:t xml:space="preserve"> en de </w:t>
      </w:r>
      <w:r>
        <w:rPr>
          <w:b/>
        </w:rPr>
        <w:t>ziekte van Takayasu</w:t>
      </w:r>
      <w:r>
        <w:t>. Binnen GCA worden soms nog varianten genoemd, zoals craniale GCA en large-vessel GCA. De pathogenese en behandeling van deze varianten zijn grotendeels hetzelfde, maar de epidemiologie verschilt.</w:t>
      </w:r>
    </w:p>
    <w:p>
      <w:r>
        <w:t xml:space="preserve">GCA komt vooral voor bij mensen </w:t>
      </w:r>
      <w:r>
        <w:rPr>
          <w:b/>
        </w:rPr>
        <w:t>boven de 50 jaar</w:t>
      </w:r>
      <w:r>
        <w:t xml:space="preserve">. Takayasu komt juist vaker voor bij </w:t>
      </w:r>
      <w:r>
        <w:rPr>
          <w:b/>
        </w:rPr>
        <w:t>jongere patiënten</w:t>
      </w:r>
      <w:r>
        <w:t>, vaak onder de 50 jaar. De incidentie verschilt bovendien sterk per regio.</w:t>
      </w:r>
    </w:p>
    <w:p>
      <w:pPr>
        <w:pStyle w:val="Heading5"/>
      </w:pPr>
      <w:r>
        <w:t>Giant cell arteritis: waarom is dit zo belangrijk?</w:t>
      </w:r>
    </w:p>
    <w:p>
      <w:r>
        <w:t xml:space="preserve">GCA is klinisch belangrijk omdat het kan leiden tot </w:t>
      </w:r>
      <w:r>
        <w:rPr>
          <w:b/>
        </w:rPr>
        <w:t>acute visusklachten en blindheid</w:t>
      </w:r>
      <w:r>
        <w:t xml:space="preserve">. Een gevreesde complicatie is een </w:t>
      </w:r>
      <w:r>
        <w:rPr>
          <w:b/>
        </w:rPr>
        <w:t>acute ischemische opticusneuropathie (AION)</w:t>
      </w:r>
      <w:r>
        <w:t>, die blijvend gezichtsverlies kan veroorzaken. Daarom is snelle herkenning en behandeling essentieel.</w:t>
      </w:r>
    </w:p>
    <w:p>
      <w:r>
        <w:t>Typische klachten zijn onder andere:</w:t>
      </w:r>
    </w:p>
    <w:p>
      <w:pPr>
        <w:pStyle w:val="ListBullet"/>
      </w:pPr>
      <w:r>
        <w:t>nieuwe hoofdpijn, vaak temporaal;</w:t>
      </w:r>
    </w:p>
    <w:p>
      <w:pPr>
        <w:pStyle w:val="ListBullet"/>
      </w:pPr>
      <w:r>
        <w:t>pijn of stijfheid van schouders en nek;</w:t>
      </w:r>
    </w:p>
    <w:p>
      <w:pPr>
        <w:pStyle w:val="ListBullet"/>
      </w:pPr>
      <w:r>
        <w:t>kaakclaudicatio of tongclaudicatio;</w:t>
      </w:r>
    </w:p>
    <w:p>
      <w:pPr>
        <w:pStyle w:val="ListBullet"/>
      </w:pPr>
      <w:r>
        <w:t>visusverlies;</w:t>
      </w:r>
    </w:p>
    <w:p>
      <w:pPr>
        <w:pStyle w:val="ListBullet"/>
      </w:pPr>
      <w:r>
        <w:t>pijnlijke of verdikte arteria temporalis;</w:t>
      </w:r>
    </w:p>
    <w:p>
      <w:pPr>
        <w:pStyle w:val="ListBullet"/>
      </w:pPr>
      <w:r>
        <w:t>verhoogde ontstekingswaarden.</w:t>
      </w:r>
    </w:p>
    <w:p>
      <w:r>
        <w:t>Bij verdenking op GCA moet je dus laagdrempelig denken aan deze diagnose, zeker bij oudere patiënten met visusklachten of klassieke systemische klachten.</w:t>
      </w:r>
    </w:p>
    <w:p>
      <w:r>
        <w:rPr>
          <w:b/>
        </w:rPr>
        <w:t>Aandacht:</w:t>
      </w:r>
      <w:r>
        <w:t xml:space="preserve"> waarom start je soms al direct met behandeling?  </w:t>
        <w:br/>
      </w:r>
      <w:r>
        <w:rPr>
          <w:b/>
        </w:rPr>
        <w:t>Mini-antwoord:</w:t>
      </w:r>
      <w:r>
        <w:t xml:space="preserve"> om te voorkomen dat ook het </w:t>
      </w:r>
      <w:r>
        <w:rPr>
          <w:b/>
        </w:rPr>
        <w:t>andere oog</w:t>
      </w:r>
      <w:r>
        <w:t xml:space="preserve"> blind wordt.</w:t>
      </w:r>
    </w:p>
    <w:p>
      <w:pPr>
        <w:pStyle w:val="Heading5"/>
      </w:pPr>
      <w:r>
        <w:t>Pathofysiologie van GCA</w:t>
      </w:r>
    </w:p>
    <w:p>
      <w:r>
        <w:t xml:space="preserve">De pathofysiologie van GCA begint in de vaatwand, vooral in de </w:t>
      </w:r>
      <w:r>
        <w:rPr>
          <w:b/>
        </w:rPr>
        <w:t>adventitia</w:t>
      </w:r>
      <w:r>
        <w:t xml:space="preserve">. Daar raken residenten dendritische cellen geactiveerd. Die zetten vervolgens een immuunreactie in gang, waarbij vooral </w:t>
      </w:r>
      <w:r>
        <w:rPr>
          <w:b/>
        </w:rPr>
        <w:t>CD4+ T-cellen</w:t>
      </w:r>
      <w:r>
        <w:t xml:space="preserve">, </w:t>
      </w:r>
      <w:r>
        <w:rPr>
          <w:b/>
        </w:rPr>
        <w:t>macrofagen</w:t>
      </w:r>
      <w:r>
        <w:t xml:space="preserve"> en uiteindelijk ook </w:t>
      </w:r>
      <w:r>
        <w:rPr>
          <w:b/>
        </w:rPr>
        <w:t>multinucleaire reuscellen</w:t>
      </w:r>
      <w:r>
        <w:t xml:space="preserve"> betrokken raken.</w:t>
      </w:r>
    </w:p>
    <w:p>
      <w:r>
        <w:t>Belangrijke cytokinen hierbij zijn:</w:t>
      </w:r>
    </w:p>
    <w:p>
      <w:pPr>
        <w:pStyle w:val="ListBullet"/>
      </w:pPr>
      <w:r>
        <w:rPr>
          <w:b/>
        </w:rPr>
        <w:t>IFN-gamma</w:t>
      </w:r>
      <w:r>
        <w:t>;</w:t>
      </w:r>
    </w:p>
    <w:p>
      <w:pPr>
        <w:pStyle w:val="ListBullet"/>
      </w:pPr>
      <w:r>
        <w:rPr>
          <w:b/>
        </w:rPr>
        <w:t>IL-6</w:t>
      </w:r>
      <w:r>
        <w:t>;</w:t>
      </w:r>
    </w:p>
    <w:p>
      <w:pPr>
        <w:pStyle w:val="ListBullet"/>
      </w:pPr>
      <w:r>
        <w:rPr>
          <w:b/>
        </w:rPr>
        <w:t>IL-1 beta</w:t>
      </w:r>
      <w:r>
        <w:t>;</w:t>
      </w:r>
    </w:p>
    <w:p>
      <w:pPr>
        <w:pStyle w:val="ListBullet"/>
      </w:pPr>
      <w:r>
        <w:rPr>
          <w:b/>
        </w:rPr>
        <w:t>IL-17</w:t>
      </w:r>
      <w:r>
        <w:t>.</w:t>
      </w:r>
    </w:p>
    <w:p>
      <w:r>
        <w:t xml:space="preserve">De ontsteking speelt zich af in verschillende stappen. Eerst treedt verlies van tolerantie op, daarna worden T-cellen gerekruteerd en geactiveerd, vervolgens volgen monocyten en CD8+ T-cellen, en uiteindelijk ontstaat </w:t>
      </w:r>
      <w:r>
        <w:rPr>
          <w:b/>
        </w:rPr>
        <w:t>vaatwandremodellering</w:t>
      </w:r>
      <w:r>
        <w:t>. Daarbij migreren en prolifereren vasculaire gladde spiercellen, waardoor de intima dikker wordt en het lumen nauwer. Ook kunnen elastische structuren in de vaatwand beschadigd raken.</w:t>
      </w:r>
    </w:p>
    <w:p>
      <w:r>
        <w:rPr>
          <w:b/>
        </w:rPr>
        <w:t>Tabel 2. Vereenvoudigde pathofysiologie van GCA</w:t>
      </w:r>
    </w:p>
    <w:tbl>
      <w:tblPr>
        <w:tblStyle w:val="TableGrid"/>
        <w:tblW w:type="auto" w:w="0"/>
        <w:tblLook w:firstColumn="1" w:firstRow="1" w:lastColumn="0" w:lastRow="0" w:noHBand="0" w:noVBand="1" w:val="04A0"/>
      </w:tblPr>
      <w:tblGrid>
        <w:gridCol w:w="4320"/>
        <w:gridCol w:w="4320"/>
      </w:tblGrid>
      <w:tr>
        <w:tc>
          <w:tcPr>
            <w:tcW w:type="dxa" w:w="4320"/>
          </w:tcPr>
          <w:p>
            <w:r>
              <w:t>Fase</w:t>
            </w:r>
          </w:p>
        </w:tc>
        <w:tc>
          <w:tcPr>
            <w:tcW w:type="dxa" w:w="4320"/>
          </w:tcPr>
          <w:p>
            <w:r>
              <w:t>Wat gebeurt er?</w:t>
            </w:r>
          </w:p>
        </w:tc>
      </w:tr>
      <w:tr>
        <w:tc>
          <w:tcPr>
            <w:tcW w:type="dxa" w:w="4320"/>
          </w:tcPr>
          <w:p>
            <w:r>
              <w:t>1. Start in de adventitia</w:t>
            </w:r>
          </w:p>
        </w:tc>
        <w:tc>
          <w:tcPr>
            <w:tcW w:type="dxa" w:w="4320"/>
          </w:tcPr>
          <w:p>
            <w:r>
              <w:t>Residenten dendritische cellen raken geactiveerd</w:t>
            </w:r>
          </w:p>
        </w:tc>
      </w:tr>
      <w:tr>
        <w:tc>
          <w:tcPr>
            <w:tcW w:type="dxa" w:w="4320"/>
          </w:tcPr>
          <w:p>
            <w:r>
              <w:t>2. T-celactivatie</w:t>
            </w:r>
          </w:p>
        </w:tc>
        <w:tc>
          <w:tcPr>
            <w:tcW w:type="dxa" w:w="4320"/>
          </w:tcPr>
          <w:p>
            <w:r>
              <w:t>CD4+ T-cellen differentiëren onder invloed van cytokinen</w:t>
            </w:r>
          </w:p>
        </w:tc>
      </w:tr>
      <w:tr>
        <w:tc>
          <w:tcPr>
            <w:tcW w:type="dxa" w:w="4320"/>
          </w:tcPr>
          <w:p>
            <w:r>
              <w:t>3. Ontstekingsversterking</w:t>
            </w:r>
          </w:p>
        </w:tc>
        <w:tc>
          <w:tcPr>
            <w:tcW w:type="dxa" w:w="4320"/>
          </w:tcPr>
          <w:p>
            <w:r>
              <w:t>Macrofagen, CD8+ T-cellen en cytokinen versterken de ontsteking</w:t>
            </w:r>
          </w:p>
        </w:tc>
      </w:tr>
      <w:tr>
        <w:tc>
          <w:tcPr>
            <w:tcW w:type="dxa" w:w="4320"/>
          </w:tcPr>
          <w:p>
            <w:r>
              <w:t>4. Vaatwandverandering</w:t>
            </w:r>
          </w:p>
        </w:tc>
        <w:tc>
          <w:tcPr>
            <w:tcW w:type="dxa" w:w="4320"/>
          </w:tcPr>
          <w:p>
            <w:r>
              <w:t>Intimale verdikking, vernauwing van het lumen en ischemie</w:t>
            </w:r>
          </w:p>
        </w:tc>
      </w:tr>
    </w:tbl>
    <w:p>
      <w:r>
        <w:t xml:space="preserve">De histologie laat vaak een </w:t>
      </w:r>
      <w:r>
        <w:rPr>
          <w:b/>
        </w:rPr>
        <w:t>granulomateuze ontsteking</w:t>
      </w:r>
      <w:r>
        <w:t xml:space="preserve"> zien met reuscellen, maar niet elke biopt toont alle klassieke kenmerken. De kern is dat de vaatwand geïnfiltreerd raakt en uiteindelijk vernauwt.</w:t>
      </w:r>
    </w:p>
    <w:p>
      <w:pPr>
        <w:pStyle w:val="Heading5"/>
      </w:pPr>
      <w:r>
        <w:t>Diagnostiek bij verdenking op GCA</w:t>
      </w:r>
    </w:p>
    <w:p>
      <w:r>
        <w:t xml:space="preserve">Bij GCA worden vaak </w:t>
      </w:r>
      <w:r>
        <w:rPr>
          <w:b/>
        </w:rPr>
        <w:t>classificatiecriteria</w:t>
      </w:r>
      <w:r>
        <w:t xml:space="preserve"> gebruikt. Die zijn in de dagelijkse praktijk nuttig, maar ze zijn vooral bedoeld om patiënten te classificeren en niet om alleen op basis daarvan de diagnose te stellen.</w:t>
      </w:r>
    </w:p>
    <w:p>
      <w:r>
        <w:rPr>
          <w:b/>
        </w:rPr>
        <w:t>Tabel 3. Belangrijkste classificatiecriteria voor GCA</w:t>
      </w:r>
    </w:p>
    <w:tbl>
      <w:tblPr>
        <w:tblStyle w:val="TableGrid"/>
        <w:tblW w:type="auto" w:w="0"/>
        <w:tblLook w:firstColumn="1" w:firstRow="1" w:lastColumn="0" w:lastRow="0" w:noHBand="0" w:noVBand="1" w:val="04A0"/>
      </w:tblPr>
      <w:tblGrid>
        <w:gridCol w:w="4320"/>
        <w:gridCol w:w="4320"/>
      </w:tblGrid>
      <w:tr>
        <w:tc>
          <w:tcPr>
            <w:tcW w:type="dxa" w:w="4320"/>
          </w:tcPr>
          <w:p>
            <w:r>
              <w:t>Criterium</w:t>
            </w:r>
          </w:p>
        </w:tc>
        <w:tc>
          <w:tcPr>
            <w:tcW w:type="dxa" w:w="4320"/>
          </w:tcPr>
          <w:p>
            <w:r>
              <w:t>Punten</w:t>
            </w:r>
          </w:p>
        </w:tc>
      </w:tr>
      <w:tr>
        <w:tc>
          <w:tcPr>
            <w:tcW w:type="dxa" w:w="4320"/>
          </w:tcPr>
          <w:p>
            <w:r>
              <w:t>Leeftijd ≥50 jaar</w:t>
            </w:r>
          </w:p>
        </w:tc>
        <w:tc>
          <w:tcPr>
            <w:tcW w:type="dxa" w:w="4320"/>
          </w:tcPr>
          <w:p>
            <w:r>
              <w:t>verplicht</w:t>
            </w:r>
          </w:p>
        </w:tc>
      </w:tr>
      <w:tr>
        <w:tc>
          <w:tcPr>
            <w:tcW w:type="dxa" w:w="4320"/>
          </w:tcPr>
          <w:p>
            <w:r>
              <w:t>Ochtendstijfheid in schouders/nek</w:t>
            </w:r>
          </w:p>
        </w:tc>
        <w:tc>
          <w:tcPr>
            <w:tcW w:type="dxa" w:w="4320"/>
          </w:tcPr>
          <w:p>
            <w:r>
              <w:t>+2</w:t>
            </w:r>
          </w:p>
        </w:tc>
      </w:tr>
      <w:tr>
        <w:tc>
          <w:tcPr>
            <w:tcW w:type="dxa" w:w="4320"/>
          </w:tcPr>
          <w:p>
            <w:r>
              <w:t>Plots visusverlies</w:t>
            </w:r>
          </w:p>
        </w:tc>
        <w:tc>
          <w:tcPr>
            <w:tcW w:type="dxa" w:w="4320"/>
          </w:tcPr>
          <w:p>
            <w:r>
              <w:t>+3</w:t>
            </w:r>
          </w:p>
        </w:tc>
      </w:tr>
      <w:tr>
        <w:tc>
          <w:tcPr>
            <w:tcW w:type="dxa" w:w="4320"/>
          </w:tcPr>
          <w:p>
            <w:r>
              <w:t>Kaak- of tongclaudicatio</w:t>
            </w:r>
          </w:p>
        </w:tc>
        <w:tc>
          <w:tcPr>
            <w:tcW w:type="dxa" w:w="4320"/>
          </w:tcPr>
          <w:p>
            <w:r>
              <w:t>+2</w:t>
            </w:r>
          </w:p>
        </w:tc>
      </w:tr>
      <w:tr>
        <w:tc>
          <w:tcPr>
            <w:tcW w:type="dxa" w:w="4320"/>
          </w:tcPr>
          <w:p>
            <w:r>
              <w:t>Nieuwe temporale hoofdpijn</w:t>
            </w:r>
          </w:p>
        </w:tc>
        <w:tc>
          <w:tcPr>
            <w:tcW w:type="dxa" w:w="4320"/>
          </w:tcPr>
          <w:p>
            <w:r>
              <w:t>+2</w:t>
            </w:r>
          </w:p>
        </w:tc>
      </w:tr>
      <w:tr>
        <w:tc>
          <w:tcPr>
            <w:tcW w:type="dxa" w:w="4320"/>
          </w:tcPr>
          <w:p>
            <w:r>
              <w:t>Scalp tenderness</w:t>
            </w:r>
          </w:p>
        </w:tc>
        <w:tc>
          <w:tcPr>
            <w:tcW w:type="dxa" w:w="4320"/>
          </w:tcPr>
          <w:p>
            <w:r>
              <w:t>+2</w:t>
            </w:r>
          </w:p>
        </w:tc>
      </w:tr>
      <w:tr>
        <w:tc>
          <w:tcPr>
            <w:tcW w:type="dxa" w:w="4320"/>
          </w:tcPr>
          <w:p>
            <w:r>
              <w:t>Afwijkend onderzoek van de arteria temporalis</w:t>
            </w:r>
          </w:p>
        </w:tc>
        <w:tc>
          <w:tcPr>
            <w:tcW w:type="dxa" w:w="4320"/>
          </w:tcPr>
          <w:p>
            <w:r>
              <w:t>+2</w:t>
            </w:r>
          </w:p>
        </w:tc>
      </w:tr>
      <w:tr>
        <w:tc>
          <w:tcPr>
            <w:tcW w:type="dxa" w:w="4320"/>
          </w:tcPr>
          <w:p>
            <w:r>
              <w:t>ESR/CRP verhoogd</w:t>
            </w:r>
          </w:p>
        </w:tc>
        <w:tc>
          <w:tcPr>
            <w:tcW w:type="dxa" w:w="4320"/>
          </w:tcPr>
          <w:p>
            <w:r>
              <w:t>+3</w:t>
            </w:r>
          </w:p>
        </w:tc>
      </w:tr>
      <w:tr>
        <w:tc>
          <w:tcPr>
            <w:tcW w:type="dxa" w:w="4320"/>
          </w:tcPr>
          <w:p>
            <w:r>
              <w:t>Positieve temporale-arteriebiopsie of halo sign op echo</w:t>
            </w:r>
          </w:p>
        </w:tc>
        <w:tc>
          <w:tcPr>
            <w:tcW w:type="dxa" w:w="4320"/>
          </w:tcPr>
          <w:p>
            <w:r>
              <w:t>+5</w:t>
            </w:r>
          </w:p>
        </w:tc>
      </w:tr>
      <w:tr>
        <w:tc>
          <w:tcPr>
            <w:tcW w:type="dxa" w:w="4320"/>
          </w:tcPr>
          <w:p>
            <w:r>
              <w:t>Bilaterale axillaire betrokkenheid</w:t>
            </w:r>
          </w:p>
        </w:tc>
        <w:tc>
          <w:tcPr>
            <w:tcW w:type="dxa" w:w="4320"/>
          </w:tcPr>
          <w:p>
            <w:r>
              <w:t>+2</w:t>
            </w:r>
          </w:p>
        </w:tc>
      </w:tr>
      <w:tr>
        <w:tc>
          <w:tcPr>
            <w:tcW w:type="dxa" w:w="4320"/>
          </w:tcPr>
          <w:p>
            <w:r>
              <w:t>FDG-PET-activiteit in de aorta</w:t>
            </w:r>
          </w:p>
        </w:tc>
        <w:tc>
          <w:tcPr>
            <w:tcW w:type="dxa" w:w="4320"/>
          </w:tcPr>
          <w:p>
            <w:r>
              <w:t>+2</w:t>
            </w:r>
          </w:p>
        </w:tc>
      </w:tr>
    </w:tbl>
    <w:p>
      <w:r>
        <w:t xml:space="preserve">Een totaalscore van </w:t>
      </w:r>
      <w:r>
        <w:rPr>
          <w:b/>
        </w:rPr>
        <w:t>≥6</w:t>
      </w:r>
      <w:r>
        <w:t xml:space="preserve"> past bij GCA.</w:t>
      </w:r>
    </w:p>
    <w:p>
      <w:r>
        <w:t>Bij een patiënt met een sterke klinische verdenking, zeker als er visusverlies is, wacht je niet af tot alle aanvullende onderzoeken klaar zijn. Je probeert wel zo snel mogelijk beeldvorming of een biopt te regelen om de diagnose te bevestigen.</w:t>
      </w:r>
    </w:p>
    <w:p>
      <w:pPr>
        <w:pStyle w:val="Heading5"/>
      </w:pPr>
      <w:r>
        <w:t>Behandeling van GCA en Takayasu</w:t>
      </w:r>
    </w:p>
    <w:p>
      <w:r>
        <w:t xml:space="preserve">De behandeling van grote-vatenvasculitis begint meestal met </w:t>
      </w:r>
      <w:r>
        <w:rPr>
          <w:b/>
        </w:rPr>
        <w:t>glucocorticoïden</w:t>
      </w:r>
      <w:r>
        <w:t xml:space="preserve">. Bij GCA wordt vaak gestart met </w:t>
      </w:r>
      <w:r>
        <w:rPr>
          <w:b/>
        </w:rPr>
        <w:t>prednisolon 40–60 mg per dag</w:t>
      </w:r>
      <w:r>
        <w:t>. Daarna wordt geleidelijk afgebouwd. Het doel is om binnen ongeveer een jaar of eerder naar een lage onderhoudsdosis te komen.</w:t>
      </w:r>
    </w:p>
    <w:p>
      <w:r>
        <w:t xml:space="preserve">Als het niet lukt om voldoende af te bouwen, of als er sprake is van een verhoogd risico op bijwerkingen of recidief, dan wordt een </w:t>
      </w:r>
      <w:r>
        <w:rPr>
          <w:b/>
        </w:rPr>
        <w:t>glucocorticoïd-sparend middel</w:t>
      </w:r>
      <w:r>
        <w:t xml:space="preserve"> toegevoegd. In de module worden vooral genoemd:</w:t>
      </w:r>
    </w:p>
    <w:p>
      <w:pPr>
        <w:pStyle w:val="ListBullet"/>
      </w:pPr>
      <w:r>
        <w:rPr>
          <w:b/>
        </w:rPr>
        <w:t>tocilizumab</w:t>
      </w:r>
      <w:r>
        <w:t>;</w:t>
      </w:r>
    </w:p>
    <w:p>
      <w:pPr>
        <w:pStyle w:val="ListBullet"/>
      </w:pPr>
      <w:r>
        <w:rPr>
          <w:b/>
        </w:rPr>
        <w:t>mycofenolaatmofetil (MMF)</w:t>
      </w:r>
      <w:r>
        <w:t>.</w:t>
      </w:r>
    </w:p>
    <w:p>
      <w:r>
        <w:t xml:space="preserve">Ook </w:t>
      </w:r>
      <w:r>
        <w:rPr>
          <w:b/>
        </w:rPr>
        <w:t>antiplaatjesmiddelen</w:t>
      </w:r>
      <w:r>
        <w:t xml:space="preserve"> worden als overweging genoemd.</w:t>
      </w:r>
    </w:p>
    <w:p>
      <w:r>
        <w:t xml:space="preserve">Bij </w:t>
      </w:r>
      <w:r>
        <w:rPr>
          <w:b/>
        </w:rPr>
        <w:t>Takayasu</w:t>
      </w:r>
      <w:r>
        <w:t xml:space="preserve"> is het principe vergelijkbaar: ook daar wordt gestart met prednisolon en vaak al snel een glucocorticoïd-sparend middel toegevoegd. Bij recidief of refractaire ziekte wordt de behandeling aangepast en wordt opnieuw gekeken naar een alternatief middel.</w:t>
      </w:r>
    </w:p>
    <w:p>
      <w:pPr>
        <w:pStyle w:val="Heading4"/>
      </w:pPr>
      <w:r>
        <w:t>Vasculitis van de kleine bloedvaten</w:t>
      </w:r>
    </w:p>
    <w:p>
      <w:r>
        <w:t>Bij kleine-vatenvasculitis zijn twee hoofdmechanismen belangrijk:</w:t>
      </w:r>
    </w:p>
    <w:p>
      <w:pPr>
        <w:pStyle w:val="ListNumber"/>
      </w:pPr>
      <w:r>
        <w:rPr>
          <w:b/>
        </w:rPr>
        <w:t>ANCA-geassocieerde vasculitis</w:t>
      </w:r>
    </w:p>
    <w:p>
      <w:pPr>
        <w:pStyle w:val="ListNumber"/>
      </w:pPr>
      <w:r>
        <w:rPr>
          <w:b/>
        </w:rPr>
        <w:t>Immune complex-gemedieerde vasculitis</w:t>
      </w:r>
    </w:p>
    <w:p>
      <w:r>
        <w:t>Deze twee vormen lijken op elkaar doordat ze beide kleine vaten kunnen treffen, maar de ontstaanswijze is verschillend.</w:t>
      </w:r>
    </w:p>
    <w:p>
      <w:pPr>
        <w:pStyle w:val="Heading4"/>
      </w:pPr>
      <w:r>
        <w:t>ANCA-geassocieerde vasculitis</w:t>
      </w:r>
    </w:p>
    <w:p>
      <w:r>
        <w:t xml:space="preserve">ANCA staat voor </w:t>
      </w:r>
      <w:r>
        <w:rPr>
          <w:b/>
        </w:rPr>
        <w:t>anti-neutrofiele cytoplasmatische antistoffen</w:t>
      </w:r>
      <w:r>
        <w:t>. Bij deze vasculitis maakt het immuunsysteem antistoffen gericht tegen neutrofiele granulocyten. De belangrijkste antigeen-doelen zijn:</w:t>
      </w:r>
    </w:p>
    <w:p>
      <w:pPr>
        <w:pStyle w:val="ListBullet"/>
      </w:pPr>
      <w:r>
        <w:rPr>
          <w:b/>
        </w:rPr>
        <w:t>MPO</w:t>
      </w:r>
      <w:r>
        <w:t xml:space="preserve"> = myeloperoxidase;</w:t>
      </w:r>
    </w:p>
    <w:p>
      <w:pPr>
        <w:pStyle w:val="ListBullet"/>
      </w:pPr>
      <w:r>
        <w:rPr>
          <w:b/>
        </w:rPr>
        <w:t>PR3</w:t>
      </w:r>
      <w:r>
        <w:t xml:space="preserve"> = proteïnase 3.</w:t>
      </w:r>
    </w:p>
    <w:p>
      <w:r>
        <w:rPr>
          <w:b/>
        </w:rPr>
        <w:t>Aandacht:</w:t>
      </w:r>
      <w:r>
        <w:t xml:space="preserve"> tegen welke twee antigenen zijn ANCAs vooral gericht?  </w:t>
        <w:br/>
      </w:r>
      <w:r>
        <w:rPr>
          <w:b/>
        </w:rPr>
        <w:t>Mini-antwoord:</w:t>
      </w:r>
      <w:r>
        <w:t xml:space="preserve"> </w:t>
      </w:r>
      <w:r>
        <w:rPr>
          <w:b/>
        </w:rPr>
        <w:t>MPO</w:t>
      </w:r>
      <w:r>
        <w:t xml:space="preserve"> en </w:t>
      </w:r>
      <w:r>
        <w:rPr>
          <w:b/>
        </w:rPr>
        <w:t>PR3</w:t>
      </w:r>
      <w:r>
        <w:t>.</w:t>
      </w:r>
    </w:p>
    <w:p>
      <w:r>
        <w:t>Door deze antistoffen worden neutrofielen geactiveerd. Die beschadigen vervolgens de vaatwand. Dit geeft een ontstekingsreactie die onbehandeld ernstig kan verlopen en zelfs levensbedreigend kan zijn.</w:t>
      </w:r>
    </w:p>
    <w:p>
      <w:r>
        <w:t>Belangrijke vormen binnen ANCA-geassocieerde vasculitis zijn:</w:t>
      </w:r>
    </w:p>
    <w:p>
      <w:pPr>
        <w:pStyle w:val="ListBullet"/>
      </w:pPr>
      <w:r>
        <w:rPr>
          <w:b/>
        </w:rPr>
        <w:t>GPA</w:t>
      </w:r>
      <w:r>
        <w:t xml:space="preserve"> = granulomatosis with polyangiitis;</w:t>
      </w:r>
    </w:p>
    <w:p>
      <w:pPr>
        <w:pStyle w:val="ListBullet"/>
      </w:pPr>
      <w:r>
        <w:rPr>
          <w:b/>
        </w:rPr>
        <w:t>MPA</w:t>
      </w:r>
      <w:r>
        <w:t xml:space="preserve"> = microscopic polyangiitis;</w:t>
      </w:r>
    </w:p>
    <w:p>
      <w:pPr>
        <w:pStyle w:val="ListBullet"/>
      </w:pPr>
      <w:r>
        <w:rPr>
          <w:b/>
        </w:rPr>
        <w:t>EGPA</w:t>
      </w:r>
      <w:r>
        <w:t xml:space="preserve"> = eosinophilic granulomatosis with polyangiitis.</w:t>
      </w:r>
    </w:p>
    <w:p>
      <w:r>
        <w:t>GPA is de meest voorkomende vorm. De module laat ook zien dat deze aandoeningen verschillen in incidentie, leeftijd van begin en ANCA-profiel, maar de centrale gedachte blijft dat het om kleine-vatenvasculitis met neutrofiele betrokkenheid gaat.</w:t>
      </w:r>
    </w:p>
    <w:p>
      <w:pPr>
        <w:pStyle w:val="Heading5"/>
      </w:pPr>
      <w:r>
        <w:t>Behandeling van GPA</w:t>
      </w:r>
    </w:p>
    <w:p>
      <w:r>
        <w:t xml:space="preserve">ANCA-geassocieerde vasculitis veroorzaakt zonder behandeling ernstige schade. Daarom is de behandeling </w:t>
      </w:r>
      <w:r>
        <w:rPr>
          <w:b/>
        </w:rPr>
        <w:t>agressief</w:t>
      </w:r>
      <w:r>
        <w:t xml:space="preserve"> en gericht op remissie-inductie.</w:t>
      </w:r>
    </w:p>
    <w:p>
      <w:r>
        <w:rPr>
          <w:b/>
        </w:rPr>
        <w:t>Tabel 4. Middelen bij remissie-inductie van GPA</w:t>
      </w:r>
    </w:p>
    <w:tbl>
      <w:tblPr>
        <w:tblStyle w:val="TableGrid"/>
        <w:tblW w:type="auto" w:w="0"/>
        <w:tblLook w:firstColumn="1" w:firstRow="1" w:lastColumn="0" w:lastRow="0" w:noHBand="0" w:noVBand="1" w:val="04A0"/>
      </w:tblPr>
      <w:tblGrid>
        <w:gridCol w:w="4320"/>
        <w:gridCol w:w="4320"/>
      </w:tblGrid>
      <w:tr>
        <w:tc>
          <w:tcPr>
            <w:tcW w:type="dxa" w:w="4320"/>
          </w:tcPr>
          <w:p>
            <w:r>
              <w:t>Middel</w:t>
            </w:r>
          </w:p>
        </w:tc>
        <w:tc>
          <w:tcPr>
            <w:tcW w:type="dxa" w:w="4320"/>
          </w:tcPr>
          <w:p>
            <w:r>
              <w:t>Rol</w:t>
            </w:r>
          </w:p>
        </w:tc>
      </w:tr>
      <w:tr>
        <w:tc>
          <w:tcPr>
            <w:tcW w:type="dxa" w:w="4320"/>
          </w:tcPr>
          <w:p>
            <w:r>
              <w:t>Hoge dosis corticosteroïden, meestal prednisolon</w:t>
            </w:r>
          </w:p>
        </w:tc>
        <w:tc>
          <w:tcPr>
            <w:tcW w:type="dxa" w:w="4320"/>
          </w:tcPr>
          <w:p>
            <w:r>
              <w:t>Worden vrijwel altijd direct gestart omdat ze snel werken</w:t>
            </w:r>
          </w:p>
        </w:tc>
      </w:tr>
      <w:tr>
        <w:tc>
          <w:tcPr>
            <w:tcW w:type="dxa" w:w="4320"/>
          </w:tcPr>
          <w:p>
            <w:r>
              <w:t>Rituximab</w:t>
            </w:r>
          </w:p>
        </w:tc>
        <w:tc>
          <w:tcPr>
            <w:tcW w:type="dxa" w:w="4320"/>
          </w:tcPr>
          <w:p>
            <w:r>
              <w:t>Anti-CD20; vermindert B-cellen en daarmee de productie van pathogene antistoffen</w:t>
            </w:r>
          </w:p>
        </w:tc>
      </w:tr>
      <w:tr>
        <w:tc>
          <w:tcPr>
            <w:tcW w:type="dxa" w:w="4320"/>
          </w:tcPr>
          <w:p>
            <w:r>
              <w:t>Cyclofosfamide</w:t>
            </w:r>
          </w:p>
        </w:tc>
        <w:tc>
          <w:tcPr>
            <w:tcW w:type="dxa" w:w="4320"/>
          </w:tcPr>
          <w:p>
            <w:r>
              <w:t>Klassiek middel dat vroeger veel werd gebruikt</w:t>
            </w:r>
          </w:p>
        </w:tc>
      </w:tr>
      <w:tr>
        <w:tc>
          <w:tcPr>
            <w:tcW w:type="dxa" w:w="4320"/>
          </w:tcPr>
          <w:p>
            <w:r>
              <w:t>Avacopan</w:t>
            </w:r>
          </w:p>
        </w:tc>
        <w:tc>
          <w:tcPr>
            <w:tcW w:type="dxa" w:w="4320"/>
          </w:tcPr>
          <w:p>
            <w:r>
              <w:t>Blokkeert de C5a-route; kan als alternatief voor prednisolon worden gebruikt</w:t>
            </w:r>
          </w:p>
        </w:tc>
      </w:tr>
    </w:tbl>
    <w:p>
      <w:r>
        <w:t xml:space="preserve">Prednisolon wordt bijna altijd meteen gegeven omdat het snel effect heeft. </w:t>
      </w:r>
      <w:r>
        <w:rPr>
          <w:b/>
        </w:rPr>
        <w:t>Rituximab</w:t>
      </w:r>
      <w:r>
        <w:t xml:space="preserve"> is tegenwoordig vaak een logische keuze, omdat ANCAs ook pathogeen zijn en B-cellen daarbij een rol spelen. </w:t>
      </w:r>
      <w:r>
        <w:rPr>
          <w:b/>
        </w:rPr>
        <w:t>Cyclofosfamide</w:t>
      </w:r>
      <w:r>
        <w:t xml:space="preserve"> werd vroeger vaker gebruikt. </w:t>
      </w:r>
      <w:r>
        <w:rPr>
          <w:b/>
        </w:rPr>
        <w:t>Avacopan</w:t>
      </w:r>
      <w:r>
        <w:t xml:space="preserve"> blokkeert C5a en remt zo de neutrofielen die de vaatwand beschadigen; het kan dus een alternatief voor prednisolon zijn, maar wordt minder vaak ingezet omdat het relatief duur is.</w:t>
      </w:r>
    </w:p>
    <w:p>
      <w:pPr>
        <w:pStyle w:val="Heading4"/>
      </w:pPr>
      <w:r>
        <w:t>Immune complex-gemedieerde vasculitis</w:t>
      </w:r>
    </w:p>
    <w:p>
      <w:r>
        <w:t xml:space="preserve">Bij immune complexvasculitis slaan </w:t>
      </w:r>
      <w:r>
        <w:rPr>
          <w:b/>
        </w:rPr>
        <w:t>immuuncomplexen</w:t>
      </w:r>
      <w:r>
        <w:t xml:space="preserve"> neer in de vaatwand. Daarna binden neutrofielen via hun Fc-receptoren aan die complexen. De neutrofielen raken geactiveerd en beschadigen de vaatwand. Dit is een </w:t>
      </w:r>
      <w:r>
        <w:rPr>
          <w:b/>
        </w:rPr>
        <w:t>type III overgevoeligheidsreactie</w:t>
      </w:r>
      <w:r>
        <w:t>.</w:t>
      </w:r>
    </w:p>
    <w:p>
      <w:r>
        <w:rPr>
          <w:b/>
        </w:rPr>
        <w:t>Aandacht:</w:t>
      </w:r>
      <w:r>
        <w:t xml:space="preserve"> welk type overgevoeligheidsreactie is dit?  </w:t>
        <w:br/>
      </w:r>
      <w:r>
        <w:rPr>
          <w:b/>
        </w:rPr>
        <w:t>Mini-antwoord:</w:t>
      </w:r>
      <w:r>
        <w:t xml:space="preserve"> </w:t>
      </w:r>
      <w:r>
        <w:rPr>
          <w:b/>
        </w:rPr>
        <w:t>type III</w:t>
      </w:r>
      <w:r>
        <w:t>.</w:t>
      </w:r>
    </w:p>
    <w:p>
      <w:r>
        <w:t xml:space="preserve">De histologische schade die hieruit ontstaat heet </w:t>
      </w:r>
      <w:r>
        <w:rPr>
          <w:b/>
        </w:rPr>
        <w:t>leukocytoclastische vasculitis</w:t>
      </w:r>
      <w:r>
        <w:t xml:space="preserve">. Dat betekent letterlijk dat er vaatschade is door fragmenten van afstervende neutrofiele granulocyten. Klinisch zie je dit vaak als </w:t>
      </w:r>
      <w:r>
        <w:rPr>
          <w:b/>
        </w:rPr>
        <w:t>palpabele purpura</w:t>
      </w:r>
      <w:r>
        <w:t xml:space="preserve"> en </w:t>
      </w:r>
      <w:r>
        <w:rPr>
          <w:b/>
        </w:rPr>
        <w:t>petechiën</w:t>
      </w:r>
      <w:r>
        <w:t>.</w:t>
      </w:r>
    </w:p>
    <w:p>
      <w:r>
        <w:t xml:space="preserve">Een belangrijk punt is dat immuuncomplexen normaal gesproken uit de circulatie worden verwijderd. Daarbij speelt </w:t>
      </w:r>
      <w:r>
        <w:rPr>
          <w:b/>
        </w:rPr>
        <w:t>C3b</w:t>
      </w:r>
      <w:r>
        <w:t xml:space="preserve"> een belangrijke rol. C3b bindt aan het immuuncomplex, waarna het complex via erythrocyten naar de milt kan worden vervoerd en daar wordt gefagocyteerd. Ook de lever helpt mee aan deze klaring. Een tekort aan C3 geeft daardoor niet alleen meer infecties, maar ook een grotere gevoeligheid voor vasculitis.</w:t>
      </w:r>
    </w:p>
    <w:p>
      <w:pPr>
        <w:pStyle w:val="Heading5"/>
      </w:pPr>
      <w:r>
        <w:t>IgA-vasculitis</w:t>
      </w:r>
    </w:p>
    <w:p>
      <w:r>
        <w:t xml:space="preserve">Een bekende vorm van immune complexvasculitis is </w:t>
      </w:r>
      <w:r>
        <w:rPr>
          <w:b/>
        </w:rPr>
        <w:t>IgA-vasculitis</w:t>
      </w:r>
      <w:r>
        <w:t xml:space="preserve">. Deze komt relatief vaak voor bij </w:t>
      </w:r>
      <w:r>
        <w:rPr>
          <w:b/>
        </w:rPr>
        <w:t>kinderen</w:t>
      </w:r>
      <w:r>
        <w:t xml:space="preserve"> en heeft meestal een vrij gunstig beloop. Vooral de </w:t>
      </w:r>
      <w:r>
        <w:rPr>
          <w:b/>
        </w:rPr>
        <w:t>huid</w:t>
      </w:r>
      <w:r>
        <w:t xml:space="preserve"> is aangedaan, maar ook </w:t>
      </w:r>
      <w:r>
        <w:rPr>
          <w:b/>
        </w:rPr>
        <w:t>darm</w:t>
      </w:r>
      <w:r>
        <w:t xml:space="preserve">, </w:t>
      </w:r>
      <w:r>
        <w:rPr>
          <w:b/>
        </w:rPr>
        <w:t>gewrichten</w:t>
      </w:r>
      <w:r>
        <w:t xml:space="preserve"> en </w:t>
      </w:r>
      <w:r>
        <w:rPr>
          <w:b/>
        </w:rPr>
        <w:t>nieren</w:t>
      </w:r>
      <w:r>
        <w:t xml:space="preserve"> kunnen betrokken zijn.</w:t>
      </w:r>
    </w:p>
    <w:p>
      <w:r>
        <w:t>De behandeling hangt af van de ernst. Vaak wordt afwachtend beleid gevoerd. Dat past bij het idee dat bij immune complexvasculitis de klachten kunnen afnemen wanneer de hoeveelheid antigeen en dus ook de hoeveelheid immuuncomplexen daalt.</w:t>
      </w:r>
    </w:p>
    <w:p>
      <w:r>
        <w:t>Andere vormen die in deze groep passen zijn onder andere:</w:t>
      </w:r>
    </w:p>
    <w:p>
      <w:pPr>
        <w:pStyle w:val="ListBullet"/>
      </w:pPr>
      <w:r>
        <w:t>cryoglobulinemische vasculitis;</w:t>
      </w:r>
    </w:p>
    <w:p>
      <w:pPr>
        <w:pStyle w:val="ListBullet"/>
      </w:pPr>
      <w:r>
        <w:t>rheumatoïde vasculitis;</w:t>
      </w:r>
    </w:p>
    <w:p>
      <w:pPr>
        <w:pStyle w:val="ListBullet"/>
      </w:pPr>
      <w:r>
        <w:t>lupusvasculitis;</w:t>
      </w:r>
    </w:p>
    <w:p>
      <w:pPr>
        <w:pStyle w:val="ListBullet"/>
      </w:pPr>
      <w:r>
        <w:t>hypocomplementemische urticariële vasculitis;</w:t>
      </w:r>
    </w:p>
    <w:p>
      <w:pPr>
        <w:pStyle w:val="ListBullet"/>
      </w:pPr>
      <w:r>
        <w:t>huidgebonden immuuncomplexvasculitis.</w:t>
      </w:r>
    </w:p>
    <w:p>
      <w:r>
        <w:rPr>
          <w:b/>
        </w:rPr>
        <w:t>Tabel 5. Kern van ANCA-geassocieerde versus immuuncomplex-gemedieerde kleinevatenvasculitis</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ANCA-geassocieerd</w:t>
            </w:r>
          </w:p>
        </w:tc>
        <w:tc>
          <w:tcPr>
            <w:tcW w:type="dxa" w:w="2880"/>
          </w:tcPr>
          <w:p>
            <w:r>
              <w:t>Immune complex-gemedieerd</w:t>
            </w:r>
          </w:p>
        </w:tc>
      </w:tr>
      <w:tr>
        <w:tc>
          <w:tcPr>
            <w:tcW w:type="dxa" w:w="2880"/>
          </w:tcPr>
          <w:p>
            <w:r>
              <w:t>Belangrijk mechanisme</w:t>
            </w:r>
          </w:p>
        </w:tc>
        <w:tc>
          <w:tcPr>
            <w:tcW w:type="dxa" w:w="2880"/>
          </w:tcPr>
          <w:p>
            <w:r>
              <w:t>Antistoffen tegen neutrofielen</w:t>
            </w:r>
          </w:p>
        </w:tc>
        <w:tc>
          <w:tcPr>
            <w:tcW w:type="dxa" w:w="2880"/>
          </w:tcPr>
          <w:p>
            <w:r>
              <w:t>Neerslag van immuuncomplexen in de vaatwand</w:t>
            </w:r>
          </w:p>
        </w:tc>
      </w:tr>
      <w:tr>
        <w:tc>
          <w:tcPr>
            <w:tcW w:type="dxa" w:w="2880"/>
          </w:tcPr>
          <w:p>
            <w:r>
              <w:t>Belangrijkste antigeen/cel</w:t>
            </w:r>
          </w:p>
        </w:tc>
        <w:tc>
          <w:tcPr>
            <w:tcW w:type="dxa" w:w="2880"/>
          </w:tcPr>
          <w:p>
            <w:r>
              <w:t>MPO, PR3, neutrofielen</w:t>
            </w:r>
          </w:p>
        </w:tc>
        <w:tc>
          <w:tcPr>
            <w:tcW w:type="dxa" w:w="2880"/>
          </w:tcPr>
          <w:p>
            <w:r>
              <w:t>Immuuncomplexen, complement, neutrofielen</w:t>
            </w:r>
          </w:p>
        </w:tc>
      </w:tr>
      <w:tr>
        <w:tc>
          <w:tcPr>
            <w:tcW w:type="dxa" w:w="2880"/>
          </w:tcPr>
          <w:p>
            <w:r>
              <w:t>Typische schade</w:t>
            </w:r>
          </w:p>
        </w:tc>
        <w:tc>
          <w:tcPr>
            <w:tcW w:type="dxa" w:w="2880"/>
          </w:tcPr>
          <w:p>
            <w:r>
              <w:t>Vaatwandbeschadiging door geactiveerde neutrofielen</w:t>
            </w:r>
          </w:p>
        </w:tc>
        <w:tc>
          <w:tcPr>
            <w:tcW w:type="dxa" w:w="2880"/>
          </w:tcPr>
          <w:p>
            <w:r>
              <w:t>Leukocytoclastische vasculitis</w:t>
            </w:r>
          </w:p>
        </w:tc>
      </w:tr>
      <w:tr>
        <w:tc>
          <w:tcPr>
            <w:tcW w:type="dxa" w:w="2880"/>
          </w:tcPr>
          <w:p>
            <w:r>
              <w:t>Voorbeelden</w:t>
            </w:r>
          </w:p>
        </w:tc>
        <w:tc>
          <w:tcPr>
            <w:tcW w:type="dxa" w:w="2880"/>
          </w:tcPr>
          <w:p>
            <w:r>
              <w:t>GPA, MPA, EGPA</w:t>
            </w:r>
          </w:p>
        </w:tc>
        <w:tc>
          <w:tcPr>
            <w:tcW w:type="dxa" w:w="2880"/>
          </w:tcPr>
          <w:p>
            <w:r>
              <w:t>IgA-vasculitis, cryoglobulinemische vasculitis, urticariële vormen</w:t>
            </w:r>
          </w:p>
        </w:tc>
      </w:tr>
      <w:tr>
        <w:tc>
          <w:tcPr>
            <w:tcW w:type="dxa" w:w="2880"/>
          </w:tcPr>
          <w:p>
            <w:r>
              <w:t>Klinische relevantie</w:t>
            </w:r>
          </w:p>
        </w:tc>
        <w:tc>
          <w:tcPr>
            <w:tcW w:type="dxa" w:w="2880"/>
          </w:tcPr>
          <w:p>
            <w:r>
              <w:t>Vaak ernstig en levensbedreigend</w:t>
            </w:r>
          </w:p>
        </w:tc>
        <w:tc>
          <w:tcPr>
            <w:tcW w:type="dxa" w:w="2880"/>
          </w:tcPr>
          <w:p>
            <w:r>
              <w:t>Vaak huidafwijkingen, maar kan ook orgaanbetrokkenheid geven</w:t>
            </w:r>
          </w:p>
        </w:tc>
      </w:tr>
    </w:tbl>
    <w:p>
      <w:pPr>
        <w:pStyle w:val="Heading4"/>
      </w:pPr>
      <w:r>
        <w:t>Samenvatting van de klinische kern</w:t>
      </w:r>
    </w:p>
    <w:p>
      <w:r>
        <w:t xml:space="preserve">Bij vasculitis is de </w:t>
      </w:r>
      <w:r>
        <w:rPr>
          <w:b/>
        </w:rPr>
        <w:t>grootte van het aangedane bloedvat</w:t>
      </w:r>
      <w:r>
        <w:t xml:space="preserve"> een belangrijk uitgangspunt. Grote-vatenvasculitis omvat vooral </w:t>
      </w:r>
      <w:r>
        <w:rPr>
          <w:b/>
        </w:rPr>
        <w:t>GCA</w:t>
      </w:r>
      <w:r>
        <w:t xml:space="preserve"> en </w:t>
      </w:r>
      <w:r>
        <w:rPr>
          <w:b/>
        </w:rPr>
        <w:t>Takayasu</w:t>
      </w:r>
      <w:r>
        <w:t xml:space="preserve">. GCA is een ziekte van oudere patiënten en is klinisch urgent, omdat blindheid kan ontstaan. Daarom start je bij sterke verdenking snel met hoge dosis </w:t>
      </w:r>
      <w:r>
        <w:rPr>
          <w:b/>
        </w:rPr>
        <w:t>prednisolon</w:t>
      </w:r>
      <w:r>
        <w:t>, en pas je de behandeling later aan met een glucocorticoïd-sparend middel als dat nodig is.</w:t>
      </w:r>
    </w:p>
    <w:p>
      <w:r>
        <w:t xml:space="preserve">Kleine-vatenvasculitis bestaat grofweg uit </w:t>
      </w:r>
      <w:r>
        <w:rPr>
          <w:b/>
        </w:rPr>
        <w:t>ANCA-geassocieerde vasculitis</w:t>
      </w:r>
      <w:r>
        <w:t xml:space="preserve"> en </w:t>
      </w:r>
      <w:r>
        <w:rPr>
          <w:b/>
        </w:rPr>
        <w:t>immune complexvasculitis</w:t>
      </w:r>
      <w:r>
        <w:t xml:space="preserve">. ANCA-geassocieerde vasculitis richt zich op </w:t>
      </w:r>
      <w:r>
        <w:rPr>
          <w:b/>
        </w:rPr>
        <w:t>MPO</w:t>
      </w:r>
      <w:r>
        <w:t xml:space="preserve"> en </w:t>
      </w:r>
      <w:r>
        <w:rPr>
          <w:b/>
        </w:rPr>
        <w:t>PR3</w:t>
      </w:r>
      <w:r>
        <w:t xml:space="preserve">, activeert neutrofielen en kan zeer ernstig verlopen. Immune complexvasculitis berust op neerslag van complexen in de vaatwand, activeert complement en geeft vaak </w:t>
      </w:r>
      <w:r>
        <w:rPr>
          <w:b/>
        </w:rPr>
        <w:t>leukocytoclastische vasculitis</w:t>
      </w:r>
      <w:r>
        <w:t xml:space="preserve">. Een klassieke vorm hiervan is </w:t>
      </w:r>
      <w:r>
        <w:rPr>
          <w:b/>
        </w:rPr>
        <w:t>IgA-vasculitis bij kinderen</w:t>
      </w:r>
      <w:r>
        <w:t>.</w:t>
      </w:r>
    </w:p>
    <w:p>
      <w:pPr>
        <w:pStyle w:val="Heading4"/>
      </w:pPr>
      <w:r>
        <w:t>Samenvatting</w:t>
      </w:r>
    </w:p>
    <w:p>
      <w:r>
        <w:t xml:space="preserve">Vasculitis is ontsteking van de bloedvatwand en wordt ingedeeld naar de grootte van de aangedane vaten. Bij de grote vaten staan </w:t>
      </w:r>
      <w:r>
        <w:rPr>
          <w:b/>
        </w:rPr>
        <w:t>GCA</w:t>
      </w:r>
      <w:r>
        <w:t xml:space="preserve"> en </w:t>
      </w:r>
      <w:r>
        <w:rPr>
          <w:b/>
        </w:rPr>
        <w:t>Takayasu</w:t>
      </w:r>
      <w:r>
        <w:t xml:space="preserve"> centraal, met GCA als spoedsituatie door risico op visusverlies. Bij de kleine vaten onderscheiden we </w:t>
      </w:r>
      <w:r>
        <w:rPr>
          <w:b/>
        </w:rPr>
        <w:t>ANCA-geassocieerde vasculitis</w:t>
      </w:r>
      <w:r>
        <w:t xml:space="preserve"> en </w:t>
      </w:r>
      <w:r>
        <w:rPr>
          <w:b/>
        </w:rPr>
        <w:t>immune complexvasculitis</w:t>
      </w:r>
      <w:r>
        <w:t xml:space="preserve">. De pathogenese bepaalt de behandeling: </w:t>
      </w:r>
      <w:r>
        <w:rPr>
          <w:b/>
        </w:rPr>
        <w:t>glucocorticoïden</w:t>
      </w:r>
      <w:r>
        <w:t xml:space="preserve"> vormen vaak de basis, aangevuld met middelen zoals </w:t>
      </w:r>
      <w:r>
        <w:rPr>
          <w:b/>
        </w:rPr>
        <w:t>rituximab</w:t>
      </w:r>
      <w:r>
        <w:t xml:space="preserve">, </w:t>
      </w:r>
      <w:r>
        <w:rPr>
          <w:b/>
        </w:rPr>
        <w:t>cyclofosfamide</w:t>
      </w:r>
      <w:r>
        <w:t xml:space="preserve">, </w:t>
      </w:r>
      <w:r>
        <w:rPr>
          <w:b/>
        </w:rPr>
        <w:t>tocilizumab</w:t>
      </w:r>
      <w:r>
        <w:t xml:space="preserve">, </w:t>
      </w:r>
      <w:r>
        <w:rPr>
          <w:b/>
        </w:rPr>
        <w:t>MMF</w:t>
      </w:r>
      <w:r>
        <w:t xml:space="preserve"> of </w:t>
      </w:r>
      <w:r>
        <w:rPr>
          <w:b/>
        </w:rPr>
        <w:t>avacopan</w:t>
      </w:r>
      <w:r>
        <w:t>, afhankelijk van het type vasculitis en de ernst van het beeld.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