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33 – Trombose verhoogde stollingsneiging</w:t>
      </w:r>
    </w:p>
    <w:p>
      <w:pPr>
        <w:pStyle w:val="Heading4"/>
      </w:pPr>
      <w:r>
        <w:t>Leerdoelen</w:t>
      </w:r>
    </w:p>
    <w:p>
      <w:r>
        <w:t>Na het doornemen van deze stof kun je:</w:t>
      </w:r>
    </w:p>
    <w:p>
      <w:pPr>
        <w:pStyle w:val="ListBullet"/>
      </w:pPr>
      <w:r>
        <w:t>beschrijven wat de oorzaken van trombose zijn;</w:t>
      </w:r>
    </w:p>
    <w:p>
      <w:pPr>
        <w:pStyle w:val="ListBullet"/>
      </w:pPr>
      <w:r>
        <w:t>een casus beoordelen en aangeven welke diagnostiek nodig is om de diagnose te stellen;</w:t>
      </w:r>
    </w:p>
    <w:p>
      <w:pPr>
        <w:pStyle w:val="ListBullet"/>
      </w:pPr>
      <w:r>
        <w:t>uitleggen hoe trombose behandeld kan worden en welke keuzes daarbij gemaakt worden;</w:t>
      </w:r>
    </w:p>
    <w:p>
      <w:pPr>
        <w:pStyle w:val="ListBullet"/>
      </w:pPr>
      <w:r>
        <w:t>beschrijven welke klachten kunnen passen bij het posttrombotisch syndroom (PTS) en hoe deze worden gescoord;</w:t>
      </w:r>
    </w:p>
    <w:p>
      <w:pPr>
        <w:pStyle w:val="ListBullet"/>
      </w:pPr>
      <w:r>
        <w:t>beschrijven waaruit de behandeling van PTS bestaat.</w:t>
      </w:r>
    </w:p>
    <w:p>
      <w:pPr>
        <w:pStyle w:val="Heading4"/>
      </w:pPr>
      <w:r>
        <w:t>Wat is trombose?</w:t>
      </w:r>
    </w:p>
    <w:p>
      <w:r>
        <w:t>Trombose is de onbedoelde vorming van een bloedstolsel in een bloedvat. Daardoor kan een bloedvat geheel of gedeeltelijk afgesloten raken. Dat heeft belangrijke gevolgen, want de doorbloeding van een weefsel of orgaan komt dan in gevaar.</w:t>
      </w:r>
    </w:p>
    <w:p>
      <w:r>
        <w:t>Er wordt onderscheid gemaakt tussen:</w:t>
      </w:r>
    </w:p>
    <w:p>
      <w:pPr>
        <w:pStyle w:val="ListBullet"/>
      </w:pPr>
      <w:r>
        <w:rPr>
          <w:b/>
        </w:rPr>
        <w:t>arteriële trombose</w:t>
      </w:r>
      <w:r>
        <w:t>: afsluiting van een slagader, wat kan leiden tot een hart- of herseninfarct;</w:t>
      </w:r>
    </w:p>
    <w:p>
      <w:pPr>
        <w:pStyle w:val="ListBullet"/>
      </w:pPr>
      <w:r>
        <w:rPr>
          <w:b/>
        </w:rPr>
        <w:t>veneuze trombose</w:t>
      </w:r>
      <w:r>
        <w:t xml:space="preserve">: trombose in een ader, bijvoorbeeld een </w:t>
      </w:r>
      <w:r>
        <w:rPr>
          <w:b/>
        </w:rPr>
        <w:t>trombosebeen</w:t>
      </w:r>
      <w:r>
        <w:t xml:space="preserve">, trombose van een arm of een </w:t>
      </w:r>
      <w:r>
        <w:rPr>
          <w:b/>
        </w:rPr>
        <w:t>longembolie</w:t>
      </w:r>
      <w:r>
        <w:t>.</w:t>
      </w:r>
    </w:p>
    <w:p>
      <w:r>
        <w:t xml:space="preserve">De term </w:t>
      </w:r>
      <w:r>
        <w:rPr>
          <w:b/>
        </w:rPr>
        <w:t>veneuze trombo-embolie (VTE)</w:t>
      </w:r>
      <w:r>
        <w:t xml:space="preserve"> is een verzamelnaam voor verschillende vormen van veneuze trombose. Klinisch is dit belangrijk, omdat trombose en trombo-embolie een belangrijke oorzaak zijn van morbiditeit in de westerse wereld en zelfs levensbedreigend kunnen zijn. Snelle herkenning en goede diagnostiek zijn daarom essentieel.</w:t>
      </w:r>
    </w:p>
    <w:p>
      <w:pPr>
        <w:pStyle w:val="Heading5"/>
      </w:pPr>
      <w:r>
        <w:t>Hoe vaak komt het voor?</w:t>
      </w:r>
    </w:p>
    <w:p>
      <w:r>
        <w:t xml:space="preserve">Per jaar krijgen ongeveer </w:t>
      </w:r>
      <w:r>
        <w:rPr>
          <w:b/>
        </w:rPr>
        <w:t>1 tot 3 per 1000 mensen</w:t>
      </w:r>
      <w:r>
        <w:t xml:space="preserve"> te maken met een trombosebeen of longembolie. Ongeveer </w:t>
      </w:r>
      <w:r>
        <w:rPr>
          <w:b/>
        </w:rPr>
        <w:t>60%</w:t>
      </w:r>
      <w:r>
        <w:t xml:space="preserve"> betreft een diepe veneuze trombose en </w:t>
      </w:r>
      <w:r>
        <w:rPr>
          <w:b/>
        </w:rPr>
        <w:t>40%</w:t>
      </w:r>
      <w:r>
        <w:t xml:space="preserve"> een longembolie. Soms komt trombose voor in buikvenen of hersenvaten, maar dat is zeldzaam.</w:t>
      </w:r>
    </w:p>
    <w:p>
      <w:r>
        <w:t>De incidentie hangt sterk samen met de leeftijd:</w:t>
      </w:r>
    </w:p>
    <w:p>
      <w:pPr>
        <w:pStyle w:val="ListBullet"/>
      </w:pPr>
      <w:r>
        <w:t xml:space="preserve">bij </w:t>
      </w:r>
      <w:r>
        <w:rPr>
          <w:b/>
        </w:rPr>
        <w:t>jongvolwassenen</w:t>
      </w:r>
      <w:r>
        <w:t xml:space="preserve"> ongeveer </w:t>
      </w:r>
      <w:r>
        <w:rPr>
          <w:b/>
        </w:rPr>
        <w:t>1:10.000</w:t>
      </w:r>
      <w:r>
        <w:t>;</w:t>
      </w:r>
    </w:p>
    <w:p>
      <w:pPr>
        <w:pStyle w:val="ListBullet"/>
      </w:pPr>
      <w:r>
        <w:t xml:space="preserve">bij </w:t>
      </w:r>
      <w:r>
        <w:rPr>
          <w:b/>
        </w:rPr>
        <w:t>hoogbejaarden</w:t>
      </w:r>
      <w:r>
        <w:t xml:space="preserve"> ongeveer </w:t>
      </w:r>
      <w:r>
        <w:rPr>
          <w:b/>
        </w:rPr>
        <w:t>1:100</w:t>
      </w:r>
      <w:r>
        <w:t>.</w:t>
      </w:r>
    </w:p>
    <w:p>
      <w:r>
        <w:t xml:space="preserve">In Nederland worden ongeveer </w:t>
      </w:r>
      <w:r>
        <w:rPr>
          <w:b/>
        </w:rPr>
        <w:t>100.000 patiënten</w:t>
      </w:r>
      <w:r>
        <w:t xml:space="preserve"> behandeld met antistolling voor veneuze trombose.</w:t>
      </w:r>
    </w:p>
    <w:p>
      <w:pPr>
        <w:pStyle w:val="Heading4"/>
      </w:pPr>
      <w:r>
        <w:t>Pathogenese: de trias van Virchow</w:t>
      </w:r>
    </w:p>
    <w:p>
      <w:r>
        <w:t xml:space="preserve">De ontstaanswijze van trombose kan goed worden uitgelegd met de </w:t>
      </w:r>
      <w:r>
        <w:rPr>
          <w:b/>
        </w:rPr>
        <w:t>trias van Virchow</w:t>
      </w:r>
      <w:r>
        <w:t>. Daarbij spelen drie processen een rol:</w:t>
      </w:r>
    </w:p>
    <w:p>
      <w:pPr>
        <w:pStyle w:val="ListNumber"/>
      </w:pPr>
      <w:r>
        <w:rPr>
          <w:b/>
        </w:rPr>
        <w:t>endotheelbeschadiging</w:t>
      </w:r>
      <w:r>
        <w:t>;</w:t>
      </w:r>
    </w:p>
    <w:p>
      <w:pPr>
        <w:pStyle w:val="ListNumber"/>
      </w:pPr>
      <w:r>
        <w:rPr>
          <w:b/>
        </w:rPr>
        <w:t>stase of turbulentie in de bloedstroom</w:t>
      </w:r>
      <w:r>
        <w:t>;</w:t>
      </w:r>
    </w:p>
    <w:p>
      <w:pPr>
        <w:pStyle w:val="ListNumber"/>
      </w:pPr>
      <w:r>
        <w:rPr>
          <w:b/>
        </w:rPr>
        <w:t>hypercoagulabiliteit</w:t>
      </w:r>
      <w:r>
        <w:t>: een verhoogde stollingsneiging.</w:t>
      </w:r>
    </w:p>
    <w:p>
      <w:r>
        <w:t xml:space="preserve">Denk je nu: *waarom juist deze drie?*  </w:t>
        <w:br/>
      </w:r>
      <w:r>
        <w:rPr>
          <w:b/>
        </w:rPr>
        <w:t>Mini-antwoord:</w:t>
      </w:r>
      <w:r>
        <w:t xml:space="preserve"> omdat ze elk de kans vergroten dat er in een vat een stolsel ontstaat.</w:t>
      </w:r>
    </w:p>
    <w:p>
      <w:pPr>
        <w:pStyle w:val="Heading5"/>
      </w:pPr>
      <w:r>
        <w:t>Tabel 1. Trias van Virchow met voorbeelden</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Categorie</w:t>
            </w:r>
          </w:p>
        </w:tc>
        <w:tc>
          <w:tcPr>
            <w:tcW w:type="dxa" w:w="2880"/>
          </w:tcPr>
          <w:p>
            <w:r>
              <w:t>Betekenis</w:t>
            </w:r>
          </w:p>
        </w:tc>
        <w:tc>
          <w:tcPr>
            <w:tcW w:type="dxa" w:w="2880"/>
          </w:tcPr>
          <w:p>
            <w:r>
              <w:t>Voorbeelden uit de stof</w:t>
            </w:r>
          </w:p>
        </w:tc>
      </w:tr>
      <w:tr>
        <w:tc>
          <w:tcPr>
            <w:tcW w:type="dxa" w:w="2880"/>
          </w:tcPr>
          <w:p>
            <w:r>
              <w:t>**Hypercoagulabele toestand**</w:t>
            </w:r>
          </w:p>
        </w:tc>
        <w:tc>
          <w:tcPr>
            <w:tcW w:type="dxa" w:w="2880"/>
          </w:tcPr>
          <w:p>
            <w:r>
              <w:t>Verhoogde stollingsneiging</w:t>
            </w:r>
          </w:p>
        </w:tc>
        <w:tc>
          <w:tcPr>
            <w:tcW w:type="dxa" w:w="2880"/>
          </w:tcPr>
          <w:p>
            <w:r>
              <w:t>Sepsis, maligniteit, trombofilie, zwangerschap en peri-partumperiode</w:t>
            </w:r>
          </w:p>
        </w:tc>
      </w:tr>
      <w:tr>
        <w:tc>
          <w:tcPr>
            <w:tcW w:type="dxa" w:w="2880"/>
          </w:tcPr>
          <w:p>
            <w:r>
              <w:t>**Vasculaire wandbeschadiging**</w:t>
            </w:r>
          </w:p>
        </w:tc>
        <w:tc>
          <w:tcPr>
            <w:tcW w:type="dxa" w:w="2880"/>
          </w:tcPr>
          <w:p>
            <w:r>
              <w:t>Beschadiging van de bloedvatwand</w:t>
            </w:r>
          </w:p>
        </w:tc>
        <w:tc>
          <w:tcPr>
            <w:tcW w:type="dxa" w:w="2880"/>
          </w:tcPr>
          <w:p>
            <w:r>
              <w:t>Trauma of operatie, venapunctie, hartklepaandoening of -prothese, atherosclerose</w:t>
            </w:r>
          </w:p>
        </w:tc>
      </w:tr>
      <w:tr>
        <w:tc>
          <w:tcPr>
            <w:tcW w:type="dxa" w:w="2880"/>
          </w:tcPr>
          <w:p>
            <w:r>
              <w:t>**Circulatoire stase**</w:t>
            </w:r>
          </w:p>
        </w:tc>
        <w:tc>
          <w:tcPr>
            <w:tcW w:type="dxa" w:w="2880"/>
          </w:tcPr>
          <w:p>
            <w:r>
              <w:t>Trage bloedstroom</w:t>
            </w:r>
          </w:p>
        </w:tc>
        <w:tc>
          <w:tcPr>
            <w:tcW w:type="dxa" w:w="2880"/>
          </w:tcPr>
          <w:p>
            <w:r>
              <w:t>Veneuze insufficiëntie of spataderen, disfunctie linker hartkamer, immobiliteit of verlamming, atriumfibrilleren</w:t>
            </w:r>
          </w:p>
        </w:tc>
      </w:tr>
    </w:tbl>
    <w:p>
      <w:r>
        <w:t>Er zijn ook bekende deficiënties of mutaties in stollingsfactoren van de secundaire hemostase die de tromboseneiging verhogen:</w:t>
      </w:r>
    </w:p>
    <w:p>
      <w:pPr>
        <w:pStyle w:val="ListBullet"/>
      </w:pPr>
      <w:r>
        <w:rPr>
          <w:b/>
        </w:rPr>
        <w:t>antitrombine-deficiëntie</w:t>
      </w:r>
      <w:r>
        <w:t>;</w:t>
      </w:r>
    </w:p>
    <w:p>
      <w:pPr>
        <w:pStyle w:val="ListBullet"/>
      </w:pPr>
      <w:r>
        <w:rPr>
          <w:b/>
        </w:rPr>
        <w:t>proteïne C-deficiëntie</w:t>
      </w:r>
      <w:r>
        <w:t>;</w:t>
      </w:r>
    </w:p>
    <w:p>
      <w:pPr>
        <w:pStyle w:val="ListBullet"/>
      </w:pPr>
      <w:r>
        <w:rPr>
          <w:b/>
        </w:rPr>
        <w:t>proteïne S-deficiëntie</w:t>
      </w:r>
      <w:r>
        <w:t>;</w:t>
      </w:r>
    </w:p>
    <w:p>
      <w:pPr>
        <w:pStyle w:val="ListBullet"/>
      </w:pPr>
      <w:r>
        <w:rPr>
          <w:b/>
        </w:rPr>
        <w:t>factor V Leiden-mutatie</w:t>
      </w:r>
      <w:r>
        <w:t>;</w:t>
      </w:r>
    </w:p>
    <w:p>
      <w:pPr>
        <w:pStyle w:val="ListBullet"/>
      </w:pPr>
      <w:r>
        <w:rPr>
          <w:b/>
        </w:rPr>
        <w:t>prothrombinegenvariant</w:t>
      </w:r>
      <w:r>
        <w:t>.</w:t>
      </w:r>
    </w:p>
    <w:p>
      <w:r>
        <w:t>Deze afwijkingen zorgen ervoor dat de rem op de vorming van fibrine vermindert. Daardoor wordt sneller een stolsel gevormd.</w:t>
      </w:r>
    </w:p>
    <w:p>
      <w:pPr>
        <w:pStyle w:val="Heading4"/>
      </w:pPr>
      <w:r>
        <w:t>Diagnostiek bij verdenking op een trombosebeen</w:t>
      </w:r>
    </w:p>
    <w:p>
      <w:r>
        <w:t xml:space="preserve">Een trombosebeen is </w:t>
      </w:r>
      <w:r>
        <w:rPr>
          <w:b/>
        </w:rPr>
        <w:t>niet</w:t>
      </w:r>
      <w:r>
        <w:t xml:space="preserve"> de enige mogelijke verklaring voor een dik, rood been. De differentiaaldiagnose van een gezwollen been is breed. Mogelijke oorzaken zijn bijvoorbeeld:</w:t>
      </w:r>
    </w:p>
    <w:p>
      <w:pPr>
        <w:pStyle w:val="ListBullet"/>
      </w:pPr>
      <w:r>
        <w:t>bloeding;</w:t>
      </w:r>
    </w:p>
    <w:p>
      <w:pPr>
        <w:pStyle w:val="ListBullet"/>
      </w:pPr>
      <w:r>
        <w:t>botbreuk;</w:t>
      </w:r>
    </w:p>
    <w:p>
      <w:pPr>
        <w:pStyle w:val="ListBullet"/>
      </w:pPr>
      <w:r>
        <w:t>infectie of ontsteking;</w:t>
      </w:r>
    </w:p>
    <w:p>
      <w:pPr>
        <w:pStyle w:val="ListBullet"/>
      </w:pPr>
      <w:r>
        <w:t>tumor;</w:t>
      </w:r>
    </w:p>
    <w:p>
      <w:pPr>
        <w:pStyle w:val="ListBullet"/>
      </w:pPr>
      <w:r>
        <w:t>arteriële trombose;</w:t>
      </w:r>
    </w:p>
    <w:p>
      <w:pPr>
        <w:pStyle w:val="ListBullet"/>
      </w:pPr>
      <w:r>
        <w:t>belemmering in het lymfestelsel.</w:t>
      </w:r>
    </w:p>
    <w:p>
      <w:pPr>
        <w:pStyle w:val="Heading5"/>
      </w:pPr>
      <w:r>
        <w:t>Anamnese: waar vraag je naar?</w:t>
      </w:r>
    </w:p>
    <w:p>
      <w:r>
        <w:t>Bij verdenking op een trombosebeen is een goede anamnese belangrijk. Je wilt onder andere weten:</w:t>
      </w:r>
    </w:p>
    <w:p>
      <w:pPr>
        <w:pStyle w:val="ListBullet"/>
      </w:pPr>
      <w:r>
        <w:t>hoe het is ontstaan, bijvoorbeeld na trauma;</w:t>
      </w:r>
    </w:p>
    <w:p>
      <w:pPr>
        <w:pStyle w:val="ListBullet"/>
      </w:pPr>
      <w:r>
        <w:t>hoe lang de klachten bestaan en hoe het beloop is;</w:t>
      </w:r>
    </w:p>
    <w:p>
      <w:pPr>
        <w:pStyle w:val="ListBullet"/>
      </w:pPr>
      <w:r>
        <w:t>of er medicijnen worden gebruikt, inclusief orale anticonceptie;</w:t>
      </w:r>
    </w:p>
    <w:p>
      <w:pPr>
        <w:pStyle w:val="ListBullet"/>
      </w:pPr>
      <w:r>
        <w:t>of iemand zwanger is;</w:t>
      </w:r>
    </w:p>
    <w:p>
      <w:pPr>
        <w:pStyle w:val="ListBullet"/>
      </w:pPr>
      <w:r>
        <w:t>of er recent een operatie of ziekenhuisopname is geweest;</w:t>
      </w:r>
    </w:p>
    <w:p>
      <w:pPr>
        <w:pStyle w:val="ListBullet"/>
      </w:pPr>
      <w:r>
        <w:t>of er immobiliteit was;</w:t>
      </w:r>
    </w:p>
    <w:p>
      <w:pPr>
        <w:pStyle w:val="ListBullet"/>
      </w:pPr>
      <w:r>
        <w:t>of er trauma aan het been is geweest;</w:t>
      </w:r>
    </w:p>
    <w:p>
      <w:pPr>
        <w:pStyle w:val="ListBullet"/>
      </w:pPr>
      <w:r>
        <w:t>of er koorts is;</w:t>
      </w:r>
    </w:p>
    <w:p>
      <w:pPr>
        <w:pStyle w:val="ListBullet"/>
      </w:pPr>
      <w:r>
        <w:t>of er dyspneu, hoesten of pijn op de borst is;</w:t>
      </w:r>
    </w:p>
    <w:p>
      <w:pPr>
        <w:pStyle w:val="ListBullet"/>
      </w:pPr>
      <w:r>
        <w:t>of er eerder trombose is geweest;</w:t>
      </w:r>
    </w:p>
    <w:p>
      <w:pPr>
        <w:pStyle w:val="ListBullet"/>
      </w:pPr>
      <w:r>
        <w:t>of er andere ziekten zijn, zoals kanker;</w:t>
      </w:r>
    </w:p>
    <w:p>
      <w:pPr>
        <w:pStyle w:val="ListBullet"/>
      </w:pPr>
      <w:r>
        <w:t>of er familieleden zijn met trombose.</w:t>
      </w:r>
    </w:p>
    <w:p>
      <w:r>
        <w:t xml:space="preserve">Een belangrijk aandachtspunt is dat je met alleen anamnese en lichamelijk onderzoek een trombosebeen </w:t>
      </w:r>
      <w:r>
        <w:rPr>
          <w:b/>
        </w:rPr>
        <w:t>niet kunt bevestigen of uitsluiten</w:t>
      </w:r>
      <w:r>
        <w:t xml:space="preserve">. Dat is klinisch erg relevant. Bij patiënten met verdenking op een trombosebeen blijkt na aanvullend onderzoek ongeveer </w:t>
      </w:r>
      <w:r>
        <w:rPr>
          <w:b/>
        </w:rPr>
        <w:t>75%</w:t>
      </w:r>
      <w:r>
        <w:t xml:space="preserve"> géén DVT te hebben.</w:t>
      </w:r>
    </w:p>
    <w:p>
      <w:r>
        <w:t xml:space="preserve">*Vraag om over na te denken:* kun je dus op alleen het beeld van een dik been vertrouwen?  </w:t>
        <w:br/>
      </w:r>
      <w:r>
        <w:rPr>
          <w:b/>
        </w:rPr>
        <w:t>Mini-antwoord:</w:t>
      </w:r>
      <w:r>
        <w:t xml:space="preserve"> nee, aanvullend onderzoek is nodig.</w:t>
      </w:r>
    </w:p>
    <w:p>
      <w:pPr>
        <w:pStyle w:val="Heading4"/>
      </w:pPr>
      <w:r>
        <w:t>D-dimeer en klinische kansschatting</w:t>
      </w:r>
    </w:p>
    <w:p>
      <w:r>
        <w:t xml:space="preserve">Een van de onderzoeken bij verdenking op veneuze trombose is het </w:t>
      </w:r>
      <w:r>
        <w:rPr>
          <w:b/>
        </w:rPr>
        <w:t>D-dimeeronderzoek</w:t>
      </w:r>
      <w:r>
        <w:t>. D-dimeren zijn een afbraakproduct van fibrine.</w:t>
      </w:r>
    </w:p>
    <w:p>
      <w:r>
        <w:t>Verhoogde D-dimeren kunnen passen bij:</w:t>
      </w:r>
    </w:p>
    <w:p>
      <w:pPr>
        <w:pStyle w:val="ListBullet"/>
      </w:pPr>
      <w:r>
        <w:t>trombosebeen of longembolie;</w:t>
      </w:r>
    </w:p>
    <w:p>
      <w:pPr>
        <w:pStyle w:val="ListBullet"/>
      </w:pPr>
      <w:r>
        <w:t>infecties of ontsteking, zoals sepsis;</w:t>
      </w:r>
    </w:p>
    <w:p>
      <w:pPr>
        <w:pStyle w:val="ListBullet"/>
      </w:pPr>
      <w:r>
        <w:t>maligniteit;</w:t>
      </w:r>
    </w:p>
    <w:p>
      <w:pPr>
        <w:pStyle w:val="ListBullet"/>
      </w:pPr>
      <w:r>
        <w:t>hogere leeftijd;</w:t>
      </w:r>
    </w:p>
    <w:p>
      <w:pPr>
        <w:pStyle w:val="ListBullet"/>
      </w:pPr>
      <w:r>
        <w:t>zwangerschap;</w:t>
      </w:r>
    </w:p>
    <w:p>
      <w:pPr>
        <w:pStyle w:val="ListBullet"/>
      </w:pPr>
      <w:r>
        <w:t>postoperatieve situatie.</w:t>
      </w:r>
    </w:p>
    <w:p>
      <w:r>
        <w:t xml:space="preserve">Dat betekent dat D-dimeren </w:t>
      </w:r>
      <w:r>
        <w:rPr>
          <w:b/>
        </w:rPr>
        <w:t>niet specifiek</w:t>
      </w:r>
      <w:r>
        <w:t xml:space="preserve"> zijn voor trombose. Ze zijn wel waardevol in combinatie met de </w:t>
      </w:r>
      <w:r>
        <w:rPr>
          <w:b/>
        </w:rPr>
        <w:t>klinische kansschatting</w:t>
      </w:r>
      <w:r>
        <w:t>.</w:t>
      </w:r>
    </w:p>
    <w:p>
      <w:pPr>
        <w:pStyle w:val="Heading5"/>
      </w:pPr>
      <w:r>
        <w:t>Tabel 2. Diagnostische onderzoeken en hun plaats</w:t>
      </w:r>
    </w:p>
    <w:tbl>
      <w:tblPr>
        <w:tblStyle w:val="TableGrid"/>
        <w:tblW w:type="auto" w:w="0"/>
        <w:tblLook w:firstColumn="1" w:firstRow="1" w:lastColumn="0" w:lastRow="0" w:noHBand="0" w:noVBand="1" w:val="04A0"/>
      </w:tblPr>
      <w:tblGrid>
        <w:gridCol w:w="4320"/>
        <w:gridCol w:w="4320"/>
      </w:tblGrid>
      <w:tr>
        <w:tc>
          <w:tcPr>
            <w:tcW w:type="dxa" w:w="4320"/>
          </w:tcPr>
          <w:p>
            <w:r>
              <w:t>Onderzoek</w:t>
            </w:r>
          </w:p>
        </w:tc>
        <w:tc>
          <w:tcPr>
            <w:tcW w:type="dxa" w:w="4320"/>
          </w:tcPr>
          <w:p>
            <w:r>
              <w:t>Rol bij verdenking DVT</w:t>
            </w:r>
          </w:p>
        </w:tc>
      </w:tr>
      <w:tr>
        <w:tc>
          <w:tcPr>
            <w:tcW w:type="dxa" w:w="4320"/>
          </w:tcPr>
          <w:p>
            <w:r>
              <w:t>**Klinische kansschatting**</w:t>
            </w:r>
          </w:p>
        </w:tc>
        <w:tc>
          <w:tcPr>
            <w:tcW w:type="dxa" w:w="4320"/>
          </w:tcPr>
          <w:p>
            <w:r>
              <w:t>Bepaalt vooraf hoe groot de kans op DVT is</w:t>
            </w:r>
          </w:p>
        </w:tc>
      </w:tr>
      <w:tr>
        <w:tc>
          <w:tcPr>
            <w:tcW w:type="dxa" w:w="4320"/>
          </w:tcPr>
          <w:p>
            <w:r>
              <w:t>**D-dimeer**</w:t>
            </w:r>
          </w:p>
        </w:tc>
        <w:tc>
          <w:tcPr>
            <w:tcW w:type="dxa" w:w="4320"/>
          </w:tcPr>
          <w:p>
            <w:r>
              <w:t>Verhoogd bij trombose, maar ook bij andere situaties; normaal bij lage klinische kans kan DVT uitsluiten</w:t>
            </w:r>
          </w:p>
        </w:tc>
      </w:tr>
      <w:tr>
        <w:tc>
          <w:tcPr>
            <w:tcW w:type="dxa" w:w="4320"/>
          </w:tcPr>
          <w:p>
            <w:r>
              <w:t>**Compressie-ultrasonografie (CUS)**</w:t>
            </w:r>
          </w:p>
        </w:tc>
        <w:tc>
          <w:tcPr>
            <w:tcW w:type="dxa" w:w="4320"/>
          </w:tcPr>
          <w:p>
            <w:r>
              <w:t>Beeldvormend onderzoek om DVT aan te tonen of uit te sluiten</w:t>
            </w:r>
          </w:p>
        </w:tc>
      </w:tr>
      <w:tr>
        <w:tc>
          <w:tcPr>
            <w:tcW w:type="dxa" w:w="4320"/>
          </w:tcPr>
          <w:p>
            <w:r>
              <w:t>**Venografie**</w:t>
            </w:r>
          </w:p>
        </w:tc>
        <w:tc>
          <w:tcPr>
            <w:tcW w:type="dxa" w:w="4320"/>
          </w:tcPr>
          <w:p>
            <w:r>
              <w:t>Juist, maar wordt zelden nog gebruikt</w:t>
            </w:r>
          </w:p>
        </w:tc>
      </w:tr>
      <w:tr>
        <w:tc>
          <w:tcPr>
            <w:tcW w:type="dxa" w:w="4320"/>
          </w:tcPr>
          <w:p>
            <w:r>
              <w:t>**Conventionele röntgenfoto been**</w:t>
            </w:r>
          </w:p>
        </w:tc>
        <w:tc>
          <w:tcPr>
            <w:tcW w:type="dxa" w:w="4320"/>
          </w:tcPr>
          <w:p>
            <w:r>
              <w:t>Niet geschikt om DVT vast te stellen</w:t>
            </w:r>
          </w:p>
        </w:tc>
      </w:tr>
      <w:tr>
        <w:tc>
          <w:tcPr>
            <w:tcW w:type="dxa" w:w="4320"/>
          </w:tcPr>
          <w:p>
            <w:r>
              <w:t>**CT-angiografie**</w:t>
            </w:r>
          </w:p>
        </w:tc>
        <w:tc>
          <w:tcPr>
            <w:tcW w:type="dxa" w:w="4320"/>
          </w:tcPr>
          <w:p>
            <w:r>
              <w:t>Niet één van de standaardonderzoeken voor deze diagnose in deze benadering</w:t>
            </w:r>
          </w:p>
        </w:tc>
      </w:tr>
    </w:tbl>
    <w:p>
      <w:pPr>
        <w:pStyle w:val="Heading5"/>
      </w:pPr>
      <w:r>
        <w:t>Diagnostische strategie</w:t>
      </w:r>
    </w:p>
    <w:p>
      <w:r>
        <w:t>De diagnostische aanpak is praktisch als volgt:</w:t>
      </w:r>
    </w:p>
    <w:p>
      <w:pPr>
        <w:pStyle w:val="ListBullet"/>
      </w:pPr>
      <w:r>
        <w:rPr>
          <w:b/>
        </w:rPr>
        <w:t>lage klinische kans + normaal D-dimeer</w:t>
      </w:r>
      <w:r>
        <w:t>: trombose uitgesloten;</w:t>
      </w:r>
    </w:p>
    <w:p>
      <w:pPr>
        <w:pStyle w:val="ListBullet"/>
      </w:pPr>
      <w:r>
        <w:t xml:space="preserve">in alle andere gevallen: </w:t>
      </w:r>
      <w:r>
        <w:rPr>
          <w:b/>
        </w:rPr>
        <w:t>echo van het been</w:t>
      </w:r>
      <w:r>
        <w:t xml:space="preserve"> met </w:t>
      </w:r>
      <w:r>
        <w:rPr>
          <w:b/>
        </w:rPr>
        <w:t>compressie-ultrasonografie (CUS)</w:t>
      </w:r>
      <w:r>
        <w:t>.</w:t>
      </w:r>
    </w:p>
    <w:p>
      <w:r>
        <w:t xml:space="preserve">Bij sterke verdenking wordt de CUS zo nodig herhaald na </w:t>
      </w:r>
      <w:r>
        <w:rPr>
          <w:b/>
        </w:rPr>
        <w:t>5–7 dagen</w:t>
      </w:r>
      <w:r>
        <w:t>.</w:t>
      </w:r>
    </w:p>
    <w:p>
      <w:r>
        <w:t xml:space="preserve">Dus wat is de kern?  </w:t>
        <w:br/>
      </w:r>
      <w:r>
        <w:rPr>
          <w:b/>
        </w:rPr>
        <w:t>Mini-antwoord:</w:t>
      </w:r>
      <w:r>
        <w:t xml:space="preserve"> je combineert klinische kans, D-dimeer en zo nodig echografie.</w:t>
      </w:r>
    </w:p>
    <w:p>
      <w:pPr>
        <w:pStyle w:val="Heading5"/>
      </w:pPr>
      <w:r>
        <w:t>Klinische beslisregel</w:t>
      </w:r>
    </w:p>
    <w:p>
      <w:r>
        <w:t>De klinische beslisregel kent punten toe aan kenmerken uit anamnese en lichamelijk onderzoek, zoals:</w:t>
      </w:r>
    </w:p>
    <w:p>
      <w:pPr>
        <w:pStyle w:val="ListBullet"/>
      </w:pPr>
      <w:r>
        <w:t>maligniteit;</w:t>
      </w:r>
    </w:p>
    <w:p>
      <w:pPr>
        <w:pStyle w:val="ListBullet"/>
      </w:pPr>
      <w:r>
        <w:t>immobilisatie van de onderste extremiteiten;</w:t>
      </w:r>
    </w:p>
    <w:p>
      <w:pPr>
        <w:pStyle w:val="ListBullet"/>
      </w:pPr>
      <w:r>
        <w:t>recente bedrust of grote operatie;</w:t>
      </w:r>
    </w:p>
    <w:p>
      <w:pPr>
        <w:pStyle w:val="ListBullet"/>
      </w:pPr>
      <w:r>
        <w:t>gelokaliseerde zwelling in het diepe veneuze systeem;</w:t>
      </w:r>
    </w:p>
    <w:p>
      <w:pPr>
        <w:pStyle w:val="ListBullet"/>
      </w:pPr>
      <w:r>
        <w:t>gezwollen been;</w:t>
      </w:r>
    </w:p>
    <w:p>
      <w:pPr>
        <w:pStyle w:val="ListBullet"/>
      </w:pPr>
      <w:r>
        <w:t>kuitzwelling met links-rechtsverschil &gt; 3 cm;</w:t>
      </w:r>
    </w:p>
    <w:p>
      <w:pPr>
        <w:pStyle w:val="ListBullet"/>
      </w:pPr>
      <w:r>
        <w:t>pitting oedeem;</w:t>
      </w:r>
    </w:p>
    <w:p>
      <w:pPr>
        <w:pStyle w:val="ListBullet"/>
      </w:pPr>
      <w:r>
        <w:t>collaterale oppervlakkige venen zonder varicosis.</w:t>
      </w:r>
    </w:p>
    <w:p>
      <w:r>
        <w:t>Tegenover deze positieve criteria staat ook:</w:t>
      </w:r>
    </w:p>
    <w:p>
      <w:pPr>
        <w:pStyle w:val="ListBullet"/>
      </w:pPr>
      <w:r>
        <w:rPr>
          <w:b/>
        </w:rPr>
        <w:t>grotere kans op een alternatieve diagnose</w:t>
      </w:r>
      <w:r>
        <w:t>: dat levert negatieve punten op.</w:t>
      </w:r>
    </w:p>
    <w:p>
      <w:r>
        <w:t xml:space="preserve">Een totaalscore van </w:t>
      </w:r>
      <w:r>
        <w:rPr>
          <w:b/>
        </w:rPr>
        <w:t>3</w:t>
      </w:r>
      <w:r>
        <w:t xml:space="preserve"> betekent hier dat verdere diagnostiek met </w:t>
      </w:r>
      <w:r>
        <w:rPr>
          <w:b/>
        </w:rPr>
        <w:t>CUS</w:t>
      </w:r>
      <w:r>
        <w:t xml:space="preserve"> nodig is.</w:t>
      </w:r>
    </w:p>
    <w:p>
      <w:pPr>
        <w:pStyle w:val="Heading4"/>
      </w:pPr>
      <w:r>
        <w:t>Behandeling van trombose</w:t>
      </w:r>
    </w:p>
    <w:p>
      <w:r>
        <w:t xml:space="preserve">Het doel van antistollingsbehandeling is het </w:t>
      </w:r>
      <w:r>
        <w:rPr>
          <w:b/>
        </w:rPr>
        <w:t>vertragen of verminderen van de secundaire hemostase</w:t>
      </w:r>
      <w:r>
        <w:t>, dus de vorming van fibrine. Daarmee beperk je verdere groei van het stolsel en verklein je het risico dat delen afbreken en emboliseren.</w:t>
      </w:r>
    </w:p>
    <w:p>
      <w:r>
        <w:t>Antistollingsmiddelen werken via twee hoofdbeginselen:</w:t>
      </w:r>
    </w:p>
    <w:p>
      <w:pPr>
        <w:pStyle w:val="ListNumber"/>
      </w:pPr>
      <w:r>
        <w:rPr>
          <w:b/>
        </w:rPr>
        <w:t>remming of verlaging van procoagulante stollingsfactoren</w:t>
      </w:r>
      <w:r>
        <w:t xml:space="preserve"> zoals FVII, FX, FV, FII, FIX en FVIII;</w:t>
      </w:r>
    </w:p>
    <w:p>
      <w:pPr>
        <w:pStyle w:val="ListNumber"/>
      </w:pPr>
      <w:r>
        <w:rPr>
          <w:b/>
        </w:rPr>
        <w:t>verhogen of stimuleren van anticoagulante factoren</w:t>
      </w:r>
      <w:r>
        <w:t xml:space="preserve"> zoals proteïne C, proteïne S en antitrombine.</w:t>
      </w:r>
    </w:p>
    <w:p>
      <w:r>
        <w:t>Daarmee worden niet alleen de trombose zelf, maar ook het risico op schade op langere termijn beperkt, zoals:</w:t>
      </w:r>
    </w:p>
    <w:p>
      <w:pPr>
        <w:pStyle w:val="ListBullet"/>
      </w:pPr>
      <w:r>
        <w:t>(long)embolie;</w:t>
      </w:r>
    </w:p>
    <w:p>
      <w:pPr>
        <w:pStyle w:val="ListBullet"/>
      </w:pPr>
      <w:r>
        <w:t>een tweede trombose;</w:t>
      </w:r>
    </w:p>
    <w:p>
      <w:pPr>
        <w:pStyle w:val="ListBullet"/>
      </w:pPr>
      <w:r>
        <w:t>posttrombotisch syndroom;</w:t>
      </w:r>
    </w:p>
    <w:p>
      <w:pPr>
        <w:pStyle w:val="ListBullet"/>
      </w:pPr>
      <w:r>
        <w:t>chronische trombo-embolische pulmonale hypertensie.</w:t>
      </w:r>
    </w:p>
    <w:p>
      <w:pPr>
        <w:pStyle w:val="Heading4"/>
      </w:pPr>
      <w:r>
        <w:t>Antistollingsmiddelen</w:t>
      </w:r>
    </w:p>
    <w:p>
      <w:pPr>
        <w:pStyle w:val="Heading5"/>
      </w:pPr>
      <w:r>
        <w:t>Heparine</w:t>
      </w:r>
    </w:p>
    <w:p>
      <w:r>
        <w:t>Heparine:</w:t>
      </w:r>
    </w:p>
    <w:p>
      <w:pPr>
        <w:pStyle w:val="ListBullet"/>
      </w:pPr>
      <w:r>
        <w:t xml:space="preserve">versterkt de werking van </w:t>
      </w:r>
      <w:r>
        <w:rPr>
          <w:b/>
        </w:rPr>
        <w:t>antitrombine</w:t>
      </w:r>
      <w:r>
        <w:t>;</w:t>
      </w:r>
    </w:p>
    <w:p>
      <w:pPr>
        <w:pStyle w:val="ListBullet"/>
      </w:pPr>
      <w:r>
        <w:t xml:space="preserve">remt vooral </w:t>
      </w:r>
      <w:r>
        <w:rPr>
          <w:b/>
        </w:rPr>
        <w:t>factor Xa</w:t>
      </w:r>
      <w:r>
        <w:t>;</w:t>
      </w:r>
    </w:p>
    <w:p>
      <w:pPr>
        <w:pStyle w:val="ListBullet"/>
      </w:pPr>
      <w:r>
        <w:t xml:space="preserve">heeft een korte halfwaardetijd van ongeveer </w:t>
      </w:r>
      <w:r>
        <w:rPr>
          <w:b/>
        </w:rPr>
        <w:t>30 minuten tot 3 uur</w:t>
      </w:r>
      <w:r>
        <w:t>;</w:t>
      </w:r>
    </w:p>
    <w:p>
      <w:pPr>
        <w:pStyle w:val="ListBullet"/>
      </w:pPr>
      <w:r>
        <w:t xml:space="preserve">kan </w:t>
      </w:r>
      <w:r>
        <w:rPr>
          <w:b/>
        </w:rPr>
        <w:t>intraveneus of subcutaan</w:t>
      </w:r>
      <w:r>
        <w:t xml:space="preserve"> worden toegediend;</w:t>
      </w:r>
    </w:p>
    <w:p>
      <w:pPr>
        <w:pStyle w:val="ListBullet"/>
      </w:pPr>
      <w:r>
        <w:t>heeft een effect dat lastig voorspelbaar is.</w:t>
      </w:r>
    </w:p>
    <w:p>
      <w:r>
        <w:t xml:space="preserve">Daarom is regelmatige controle nodig. Die controle gebeurt met de </w:t>
      </w:r>
      <w:r>
        <w:rPr>
          <w:b/>
        </w:rPr>
        <w:t>APTT-meting</w:t>
      </w:r>
      <w:r>
        <w:t>.</w:t>
      </w:r>
    </w:p>
    <w:p>
      <w:pPr>
        <w:pStyle w:val="Heading5"/>
      </w:pPr>
      <w:r>
        <w:t>Low Molecular Weight Heparin (LMWH)</w:t>
      </w:r>
    </w:p>
    <w:p>
      <w:r>
        <w:t>LMWH:</w:t>
      </w:r>
    </w:p>
    <w:p>
      <w:pPr>
        <w:pStyle w:val="ListBullet"/>
      </w:pPr>
      <w:r>
        <w:t xml:space="preserve">werkt vooral via remming van </w:t>
      </w:r>
      <w:r>
        <w:rPr>
          <w:b/>
        </w:rPr>
        <w:t>factor Xa</w:t>
      </w:r>
      <w:r>
        <w:t>;</w:t>
      </w:r>
    </w:p>
    <w:p>
      <w:pPr>
        <w:pStyle w:val="ListBullet"/>
      </w:pPr>
      <w:r>
        <w:t xml:space="preserve">heeft een halfwaardetijd van rond de </w:t>
      </w:r>
      <w:r>
        <w:rPr>
          <w:b/>
        </w:rPr>
        <w:t>12 uur</w:t>
      </w:r>
      <w:r>
        <w:t>;</w:t>
      </w:r>
    </w:p>
    <w:p>
      <w:pPr>
        <w:pStyle w:val="ListBullet"/>
      </w:pPr>
      <w:r>
        <w:t xml:space="preserve">wordt </w:t>
      </w:r>
      <w:r>
        <w:rPr>
          <w:b/>
        </w:rPr>
        <w:t>subcutaan</w:t>
      </w:r>
      <w:r>
        <w:t xml:space="preserve"> gegeven, meestal </w:t>
      </w:r>
      <w:r>
        <w:rPr>
          <w:b/>
        </w:rPr>
        <w:t>een of twee keer per dag</w:t>
      </w:r>
      <w:r>
        <w:t>;</w:t>
      </w:r>
    </w:p>
    <w:p>
      <w:pPr>
        <w:pStyle w:val="ListBullet"/>
      </w:pPr>
      <w:r>
        <w:t xml:space="preserve">heeft een </w:t>
      </w:r>
      <w:r>
        <w:rPr>
          <w:b/>
        </w:rPr>
        <w:t>voorspelbaar effect</w:t>
      </w:r>
      <w:r>
        <w:t>;</w:t>
      </w:r>
    </w:p>
    <w:p>
      <w:pPr>
        <w:pStyle w:val="ListBullet"/>
      </w:pPr>
      <w:r>
        <w:t xml:space="preserve">behoeft meestal </w:t>
      </w:r>
      <w:r>
        <w:rPr>
          <w:b/>
        </w:rPr>
        <w:t>geen routinematige monitoring</w:t>
      </w:r>
      <w:r>
        <w:t xml:space="preserve">, al kan het effect wel gemeten worden met een </w:t>
      </w:r>
      <w:r>
        <w:rPr>
          <w:b/>
        </w:rPr>
        <w:t>anti-Xa-spiegel</w:t>
      </w:r>
      <w:r>
        <w:t>.</w:t>
      </w:r>
    </w:p>
    <w:p>
      <w:pPr>
        <w:pStyle w:val="Heading5"/>
      </w:pPr>
      <w:r>
        <w:t>Vitamine K-antagonisten (VKA)</w:t>
      </w:r>
    </w:p>
    <w:p>
      <w:r>
        <w:t>De twee vitamine K-antagonisten zijn:</w:t>
      </w:r>
    </w:p>
    <w:p>
      <w:pPr>
        <w:pStyle w:val="ListBullet"/>
      </w:pPr>
      <w:r>
        <w:rPr>
          <w:b/>
        </w:rPr>
        <w:t>fenprocoumon</w:t>
      </w:r>
      <w:r>
        <w:t>;</w:t>
      </w:r>
    </w:p>
    <w:p>
      <w:pPr>
        <w:pStyle w:val="ListBullet"/>
      </w:pPr>
      <w:r>
        <w:rPr>
          <w:b/>
        </w:rPr>
        <w:t>acenocoumarol</w:t>
      </w:r>
      <w:r>
        <w:t>.</w:t>
      </w:r>
    </w:p>
    <w:p>
      <w:r>
        <w:t>Het belangrijkste verschil tussen deze middelen is de halfwaardetijd:</w:t>
      </w:r>
    </w:p>
    <w:p>
      <w:pPr>
        <w:pStyle w:val="ListBullet"/>
      </w:pPr>
      <w:r>
        <w:t xml:space="preserve">fenprocoumon: ongeveer </w:t>
      </w:r>
      <w:r>
        <w:rPr>
          <w:b/>
        </w:rPr>
        <w:t>150 uur</w:t>
      </w:r>
      <w:r>
        <w:t>;</w:t>
      </w:r>
    </w:p>
    <w:p>
      <w:pPr>
        <w:pStyle w:val="ListBullet"/>
      </w:pPr>
      <w:r>
        <w:t xml:space="preserve">acenocoumarol: ongeveer </w:t>
      </w:r>
      <w:r>
        <w:rPr>
          <w:b/>
        </w:rPr>
        <w:t>14 uur</w:t>
      </w:r>
      <w:r>
        <w:t>.</w:t>
      </w:r>
    </w:p>
    <w:p>
      <w:r>
        <w:t xml:space="preserve">VKA’s hebben een </w:t>
      </w:r>
      <w:r>
        <w:rPr>
          <w:b/>
        </w:rPr>
        <w:t>oplaadschema</w:t>
      </w:r>
      <w:r>
        <w:t xml:space="preserve"> nodig, omdat ze pas na enkele dagen werken. Als je ermee stopt, werkt het middel nog enkele dagen door. De mate van antistolling is variabel, en daarom is controle nodig met de </w:t>
      </w:r>
      <w:r>
        <w:rPr>
          <w:b/>
        </w:rPr>
        <w:t>INR</w:t>
      </w:r>
      <w:r>
        <w:t>.</w:t>
      </w:r>
    </w:p>
    <w:p>
      <w:r>
        <w:t>Ook belangrijk: veel geneesmiddelen beïnvloeden de werking van VKA’s, zoals:</w:t>
      </w:r>
    </w:p>
    <w:p>
      <w:pPr>
        <w:pStyle w:val="ListBullet"/>
      </w:pPr>
      <w:r>
        <w:t>antibiotica;</w:t>
      </w:r>
    </w:p>
    <w:p>
      <w:pPr>
        <w:pStyle w:val="ListBullet"/>
      </w:pPr>
      <w:r>
        <w:t>hormonen;</w:t>
      </w:r>
    </w:p>
    <w:p>
      <w:pPr>
        <w:pStyle w:val="ListBullet"/>
      </w:pPr>
      <w:r>
        <w:t>antimycotica;</w:t>
      </w:r>
    </w:p>
    <w:p>
      <w:pPr>
        <w:pStyle w:val="ListBullet"/>
      </w:pPr>
      <w:r>
        <w:t>anti-epileptica;</w:t>
      </w:r>
    </w:p>
    <w:p>
      <w:pPr>
        <w:pStyle w:val="ListBullet"/>
      </w:pPr>
      <w:r>
        <w:t>antidepressiva.</w:t>
      </w:r>
    </w:p>
    <w:p>
      <w:pPr>
        <w:pStyle w:val="Heading5"/>
      </w:pPr>
      <w:r>
        <w:t>Wat is INR?</w:t>
      </w:r>
    </w:p>
    <w:p>
      <w:r>
        <w:t xml:space="preserve">De </w:t>
      </w:r>
      <w:r>
        <w:rPr>
          <w:b/>
        </w:rPr>
        <w:t>International Normalized Ratio (INR)</w:t>
      </w:r>
      <w:r>
        <w:t xml:space="preserve"> is een maat voor het antistollingsniveau van het bloed. De </w:t>
      </w:r>
      <w:r>
        <w:rPr>
          <w:b/>
        </w:rPr>
        <w:t>ISI</w:t>
      </w:r>
      <w:r>
        <w:t xml:space="preserve"> is de international sensitivity index en zegt iets over de gevoeligheid van tromboplastine bij die meting. Patiënten laten hun bloed controleren door de trombosedienst. Meestal wordt een </w:t>
      </w:r>
      <w:r>
        <w:rPr>
          <w:b/>
        </w:rPr>
        <w:t>INR van 2,0–3,0</w:t>
      </w:r>
      <w:r>
        <w:t xml:space="preserve"> nagestreefd voor goede antistolling.</w:t>
      </w:r>
    </w:p>
    <w:p>
      <w:pPr>
        <w:pStyle w:val="Heading5"/>
      </w:pPr>
      <w:r>
        <w:t>Directe orale anticoagulantia (DOAC)</w:t>
      </w:r>
    </w:p>
    <w:p>
      <w:r>
        <w:t>DOAC’s werken door directe remming van een stollingsfactor:</w:t>
      </w:r>
    </w:p>
    <w:p>
      <w:pPr>
        <w:pStyle w:val="ListBullet"/>
      </w:pPr>
      <w:r>
        <w:rPr>
          <w:b/>
        </w:rPr>
        <w:t>dabigatran</w:t>
      </w:r>
      <w:r>
        <w:t xml:space="preserve"> remt </w:t>
      </w:r>
      <w:r>
        <w:rPr>
          <w:b/>
        </w:rPr>
        <w:t>trombine</w:t>
      </w:r>
      <w:r>
        <w:t>;</w:t>
      </w:r>
    </w:p>
    <w:p>
      <w:pPr>
        <w:pStyle w:val="ListBullet"/>
      </w:pPr>
      <w:r>
        <w:rPr>
          <w:b/>
        </w:rPr>
        <w:t>rivaroxaban</w:t>
      </w:r>
      <w:r>
        <w:t xml:space="preserve">, </w:t>
      </w:r>
      <w:r>
        <w:rPr>
          <w:b/>
        </w:rPr>
        <w:t>apixaban</w:t>
      </w:r>
      <w:r>
        <w:t xml:space="preserve"> en </w:t>
      </w:r>
      <w:r>
        <w:rPr>
          <w:b/>
        </w:rPr>
        <w:t>edoxaban</w:t>
      </w:r>
      <w:r>
        <w:t xml:space="preserve"> remmen </w:t>
      </w:r>
      <w:r>
        <w:rPr>
          <w:b/>
        </w:rPr>
        <w:t>factor Xa</w:t>
      </w:r>
      <w:r>
        <w:t>.</w:t>
      </w:r>
    </w:p>
    <w:p>
      <w:r>
        <w:t>Het zijn tabletten en de werking is voorspelbaar.</w:t>
      </w:r>
    </w:p>
    <w:p>
      <w:pPr>
        <w:pStyle w:val="Heading5"/>
      </w:pPr>
      <w:r>
        <w:t>Tabel 3. Vergelijking van DOAC’s en VKA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Kenmerk</w:t>
            </w:r>
          </w:p>
        </w:tc>
        <w:tc>
          <w:tcPr>
            <w:tcW w:type="dxa" w:w="1440"/>
          </w:tcPr>
          <w:p>
            <w:r>
              <w:t>Dabigatran</w:t>
            </w:r>
          </w:p>
        </w:tc>
        <w:tc>
          <w:tcPr>
            <w:tcW w:type="dxa" w:w="1440"/>
          </w:tcPr>
          <w:p>
            <w:r>
              <w:t>Rivaroxaban</w:t>
            </w:r>
          </w:p>
        </w:tc>
        <w:tc>
          <w:tcPr>
            <w:tcW w:type="dxa" w:w="1440"/>
          </w:tcPr>
          <w:p>
            <w:r>
              <w:t>Apixaban</w:t>
            </w:r>
          </w:p>
        </w:tc>
        <w:tc>
          <w:tcPr>
            <w:tcW w:type="dxa" w:w="1440"/>
          </w:tcPr>
          <w:p>
            <w:r>
              <w:t>Edoxaban</w:t>
            </w:r>
          </w:p>
        </w:tc>
        <w:tc>
          <w:tcPr>
            <w:tcW w:type="dxa" w:w="1440"/>
          </w:tcPr>
          <w:p>
            <w:r>
              <w:t>VKA</w:t>
            </w:r>
          </w:p>
        </w:tc>
      </w:tr>
      <w:tr>
        <w:tc>
          <w:tcPr>
            <w:tcW w:type="dxa" w:w="1440"/>
          </w:tcPr>
          <w:p>
            <w:r>
              <w:t>**Aangrijpingspunt**</w:t>
            </w:r>
          </w:p>
        </w:tc>
        <w:tc>
          <w:tcPr>
            <w:tcW w:type="dxa" w:w="1440"/>
          </w:tcPr>
          <w:p>
            <w:r>
              <w:t>Trombine</w:t>
            </w:r>
          </w:p>
        </w:tc>
        <w:tc>
          <w:tcPr>
            <w:tcW w:type="dxa" w:w="1440"/>
          </w:tcPr>
          <w:p>
            <w:r>
              <w:t>Factor Xa</w:t>
            </w:r>
          </w:p>
        </w:tc>
        <w:tc>
          <w:tcPr>
            <w:tcW w:type="dxa" w:w="1440"/>
          </w:tcPr>
          <w:p>
            <w:r>
              <w:t>Factor Xa</w:t>
            </w:r>
          </w:p>
        </w:tc>
        <w:tc>
          <w:tcPr>
            <w:tcW w:type="dxa" w:w="1440"/>
          </w:tcPr>
          <w:p>
            <w:r>
              <w:t>Factor Xa</w:t>
            </w:r>
          </w:p>
        </w:tc>
        <w:tc>
          <w:tcPr>
            <w:tcW w:type="dxa" w:w="1440"/>
          </w:tcPr>
          <w:p>
            <w:r>
              <w:t>Vitamine K-afhankelijke stolling</w:t>
            </w:r>
          </w:p>
        </w:tc>
      </w:tr>
      <w:tr>
        <w:tc>
          <w:tcPr>
            <w:tcW w:type="dxa" w:w="1440"/>
          </w:tcPr>
          <w:p>
            <w:r>
              <w:t>**Dosering**</w:t>
            </w:r>
          </w:p>
        </w:tc>
        <w:tc>
          <w:tcPr>
            <w:tcW w:type="dxa" w:w="1440"/>
          </w:tcPr>
          <w:p>
            <w:r>
              <w:t>2dd</w:t>
            </w:r>
          </w:p>
        </w:tc>
        <w:tc>
          <w:tcPr>
            <w:tcW w:type="dxa" w:w="1440"/>
          </w:tcPr>
          <w:p>
            <w:r>
              <w:t>1dd</w:t>
            </w:r>
          </w:p>
        </w:tc>
        <w:tc>
          <w:tcPr>
            <w:tcW w:type="dxa" w:w="1440"/>
          </w:tcPr>
          <w:p>
            <w:r>
              <w:t>2dd</w:t>
            </w:r>
          </w:p>
        </w:tc>
        <w:tc>
          <w:tcPr>
            <w:tcW w:type="dxa" w:w="1440"/>
          </w:tcPr>
          <w:p>
            <w:r>
              <w:t>1dd</w:t>
            </w:r>
          </w:p>
        </w:tc>
        <w:tc>
          <w:tcPr>
            <w:tcW w:type="dxa" w:w="1440"/>
          </w:tcPr>
          <w:p>
            <w:r>
              <w:t>Variabel</w:t>
            </w:r>
          </w:p>
        </w:tc>
      </w:tr>
      <w:tr>
        <w:tc>
          <w:tcPr>
            <w:tcW w:type="dxa" w:w="1440"/>
          </w:tcPr>
          <w:p>
            <w:r>
              <w:t>**Bioavailability**</w:t>
            </w:r>
          </w:p>
        </w:tc>
        <w:tc>
          <w:tcPr>
            <w:tcW w:type="dxa" w:w="1440"/>
          </w:tcPr>
          <w:p>
            <w:r>
              <w:t>6,5%</w:t>
            </w:r>
          </w:p>
        </w:tc>
        <w:tc>
          <w:tcPr>
            <w:tcW w:type="dxa" w:w="1440"/>
          </w:tcPr>
          <w:p>
            <w:r>
              <w:t>80%</w:t>
            </w:r>
          </w:p>
        </w:tc>
        <w:tc>
          <w:tcPr>
            <w:tcW w:type="dxa" w:w="1440"/>
          </w:tcPr>
          <w:p>
            <w:r>
              <w:t>66%</w:t>
            </w:r>
          </w:p>
        </w:tc>
        <w:tc>
          <w:tcPr>
            <w:tcW w:type="dxa" w:w="1440"/>
          </w:tcPr>
          <w:p>
            <w:r>
              <w:t>62%</w:t>
            </w:r>
          </w:p>
        </w:tc>
        <w:tc>
          <w:tcPr>
            <w:tcW w:type="dxa" w:w="1440"/>
          </w:tcPr>
          <w:p>
            <w:r>
              <w:t>-</w:t>
            </w:r>
          </w:p>
        </w:tc>
      </w:tr>
      <w:tr>
        <w:tc>
          <w:tcPr>
            <w:tcW w:type="dxa" w:w="1440"/>
          </w:tcPr>
          <w:p>
            <w:r>
              <w:t>**Belangrijke interactie**</w:t>
            </w:r>
          </w:p>
        </w:tc>
        <w:tc>
          <w:tcPr>
            <w:tcW w:type="dxa" w:w="1440"/>
          </w:tcPr>
          <w:p>
            <w:r>
              <w:t>p-gp</w:t>
            </w:r>
          </w:p>
        </w:tc>
        <w:tc>
          <w:tcPr>
            <w:tcW w:type="dxa" w:w="1440"/>
          </w:tcPr>
          <w:p>
            <w:r>
              <w:t>CYP3A4, p-gp</w:t>
            </w:r>
          </w:p>
        </w:tc>
        <w:tc>
          <w:tcPr>
            <w:tcW w:type="dxa" w:w="1440"/>
          </w:tcPr>
          <w:p>
            <w:r>
              <w:t>CYP3A4</w:t>
            </w:r>
          </w:p>
        </w:tc>
        <w:tc>
          <w:tcPr>
            <w:tcW w:type="dxa" w:w="1440"/>
          </w:tcPr>
          <w:p>
            <w:r>
              <w:t>CYP3A4, p-gp</w:t>
            </w:r>
          </w:p>
        </w:tc>
        <w:tc>
          <w:tcPr>
            <w:tcW w:type="dxa" w:w="1440"/>
          </w:tcPr>
          <w:p>
            <w:r>
              <w:t>Veel interacties</w:t>
            </w:r>
          </w:p>
        </w:tc>
      </w:tr>
      <w:tr>
        <w:tc>
          <w:tcPr>
            <w:tcW w:type="dxa" w:w="1440"/>
          </w:tcPr>
          <w:p>
            <w:r>
              <w:t>**Halfwaardetijd**</w:t>
            </w:r>
          </w:p>
        </w:tc>
        <w:tc>
          <w:tcPr>
            <w:tcW w:type="dxa" w:w="1440"/>
          </w:tcPr>
          <w:p>
            <w:r>
              <w:t>9–13 uur</w:t>
            </w:r>
          </w:p>
        </w:tc>
        <w:tc>
          <w:tcPr>
            <w:tcW w:type="dxa" w:w="1440"/>
          </w:tcPr>
          <w:p>
            <w:r>
              <w:t>7–11 uur</w:t>
            </w:r>
          </w:p>
        </w:tc>
        <w:tc>
          <w:tcPr>
            <w:tcW w:type="dxa" w:w="1440"/>
          </w:tcPr>
          <w:p>
            <w:r>
              <w:t>8–15 uur</w:t>
            </w:r>
          </w:p>
        </w:tc>
        <w:tc>
          <w:tcPr>
            <w:tcW w:type="dxa" w:w="1440"/>
          </w:tcPr>
          <w:p>
            <w:r>
              <w:t>10–14 uur</w:t>
            </w:r>
          </w:p>
        </w:tc>
        <w:tc>
          <w:tcPr>
            <w:tcW w:type="dxa" w:w="1440"/>
          </w:tcPr>
          <w:p>
            <w:r>
              <w:t>Fenprocoumon 150 uur, acenocoumarol 14 uur</w:t>
            </w:r>
          </w:p>
        </w:tc>
      </w:tr>
      <w:tr>
        <w:tc>
          <w:tcPr>
            <w:tcW w:type="dxa" w:w="1440"/>
          </w:tcPr>
          <w:p>
            <w:r>
              <w:t>**Renale klaring**</w:t>
            </w:r>
          </w:p>
        </w:tc>
        <w:tc>
          <w:tcPr>
            <w:tcW w:type="dxa" w:w="1440"/>
          </w:tcPr>
          <w:p>
            <w:r>
              <w:t>80%</w:t>
            </w:r>
          </w:p>
        </w:tc>
        <w:tc>
          <w:tcPr>
            <w:tcW w:type="dxa" w:w="1440"/>
          </w:tcPr>
          <w:p>
            <w:r>
              <w:t>33%</w:t>
            </w:r>
          </w:p>
        </w:tc>
        <w:tc>
          <w:tcPr>
            <w:tcW w:type="dxa" w:w="1440"/>
          </w:tcPr>
          <w:p>
            <w:r>
              <w:t>25%</w:t>
            </w:r>
          </w:p>
        </w:tc>
        <w:tc>
          <w:tcPr>
            <w:tcW w:type="dxa" w:w="1440"/>
          </w:tcPr>
          <w:p>
            <w:r>
              <w:t>35%</w:t>
            </w:r>
          </w:p>
        </w:tc>
        <w:tc>
          <w:tcPr>
            <w:tcW w:type="dxa" w:w="1440"/>
          </w:tcPr>
          <w:p>
            <w:r>
              <w:t>-</w:t>
            </w:r>
          </w:p>
        </w:tc>
      </w:tr>
    </w:tbl>
    <w:p>
      <w:r>
        <w:t xml:space="preserve">De grootste verschillen tussen de DOAC’s zitten in de </w:t>
      </w:r>
      <w:r>
        <w:rPr>
          <w:b/>
        </w:rPr>
        <w:t>renale klaring</w:t>
      </w:r>
      <w:r>
        <w:t xml:space="preserve">. De effectiviteit van VKA en DOAC’s is gelijk. DOAC’s geven echter minder bloedingen dan VKA’s. Er is van </w:t>
      </w:r>
      <w:r>
        <w:rPr>
          <w:b/>
        </w:rPr>
        <w:t>één middel binnen deze groep</w:t>
      </w:r>
      <w:r>
        <w:t xml:space="preserve"> een antidotum beschikbaar.</w:t>
      </w:r>
    </w:p>
    <w:p>
      <w:pPr>
        <w:pStyle w:val="Heading4"/>
      </w:pPr>
      <w:r>
        <w:t>DOAC of VKA?</w:t>
      </w:r>
    </w:p>
    <w:p>
      <w:r>
        <w:t>Bij een patiënt met een trombosebeen kan behandeling plaatsvinden met een DOAC of met een VKA. De keuze wordt bepaald door de kenmerken van het middel en de patiënt.</w:t>
      </w:r>
    </w:p>
    <w:p>
      <w:pPr>
        <w:pStyle w:val="Heading5"/>
      </w:pPr>
      <w:r>
        <w:t>Tabel 4. Kernverschillen tussen VKA en DOAC</w:t>
      </w:r>
    </w:p>
    <w:tbl>
      <w:tblPr>
        <w:tblStyle w:val="TableGrid"/>
        <w:tblW w:type="auto" w:w="0"/>
        <w:tblLook w:firstColumn="1" w:firstRow="1" w:lastColumn="0" w:lastRow="0" w:noHBand="0" w:noVBand="1" w:val="04A0"/>
      </w:tblPr>
      <w:tblGrid>
        <w:gridCol w:w="4320"/>
        <w:gridCol w:w="4320"/>
      </w:tblGrid>
      <w:tr>
        <w:tc>
          <w:tcPr>
            <w:tcW w:type="dxa" w:w="4320"/>
          </w:tcPr>
          <w:p>
            <w:r>
              <w:t>VKA</w:t>
            </w:r>
          </w:p>
        </w:tc>
        <w:tc>
          <w:tcPr>
            <w:tcW w:type="dxa" w:w="4320"/>
          </w:tcPr>
          <w:p>
            <w:r>
              <w:t>DOAC</w:t>
            </w:r>
          </w:p>
        </w:tc>
      </w:tr>
      <w:tr>
        <w:tc>
          <w:tcPr>
            <w:tcW w:type="dxa" w:w="4320"/>
          </w:tcPr>
          <w:p>
            <w:r>
              <w:t>Mate van antistolling meetbaar met INR</w:t>
            </w:r>
          </w:p>
        </w:tc>
        <w:tc>
          <w:tcPr>
            <w:tcW w:type="dxa" w:w="4320"/>
          </w:tcPr>
          <w:p>
            <w:r>
              <w:t>Voorspelbaar effect op stolling</w:t>
            </w:r>
          </w:p>
        </w:tc>
      </w:tr>
      <w:tr>
        <w:tc>
          <w:tcPr>
            <w:tcW w:type="dxa" w:w="4320"/>
          </w:tcPr>
          <w:p>
            <w:r>
              <w:t>Variabel effect op stolling</w:t>
            </w:r>
          </w:p>
        </w:tc>
        <w:tc>
          <w:tcPr>
            <w:tcW w:type="dxa" w:w="4320"/>
          </w:tcPr>
          <w:p>
            <w:r>
              <w:t>Voorspelbaar effect op stolling</w:t>
            </w:r>
          </w:p>
        </w:tc>
      </w:tr>
      <w:tr>
        <w:tc>
          <w:tcPr>
            <w:tcW w:type="dxa" w:w="4320"/>
          </w:tcPr>
          <w:p>
            <w:r>
              <w:t>Antidotum beschikbaar</w:t>
            </w:r>
          </w:p>
        </w:tc>
        <w:tc>
          <w:tcPr>
            <w:tcW w:type="dxa" w:w="4320"/>
          </w:tcPr>
          <w:p>
            <w:r>
              <w:t>Antidotum voor één middel uit deze groep beschikbaar</w:t>
            </w:r>
          </w:p>
        </w:tc>
      </w:tr>
      <w:tr>
        <w:tc>
          <w:tcPr>
            <w:tcW w:type="dxa" w:w="4320"/>
          </w:tcPr>
          <w:p>
            <w:r>
              <w:t>Start altijd in combinatie met LMWH</w:t>
            </w:r>
          </w:p>
        </w:tc>
        <w:tc>
          <w:tcPr>
            <w:tcW w:type="dxa" w:w="4320"/>
          </w:tcPr>
          <w:p>
            <w:r>
              <w:t>Moet soms voorafgegaan worden door LMWH</w:t>
            </w:r>
          </w:p>
        </w:tc>
      </w:tr>
      <w:tr>
        <w:tc>
          <w:tcPr>
            <w:tcW w:type="dxa" w:w="4320"/>
          </w:tcPr>
          <w:p>
            <w:r>
              <w:t>Veel interacties met andere geneesmiddelen</w:t>
            </w:r>
          </w:p>
        </w:tc>
        <w:tc>
          <w:tcPr>
            <w:tcW w:type="dxa" w:w="4320"/>
          </w:tcPr>
          <w:p>
            <w:r>
              <w:t>Minder interacties</w:t>
            </w:r>
          </w:p>
        </w:tc>
      </w:tr>
      <w:tr>
        <w:tc>
          <w:tcPr>
            <w:tcW w:type="dxa" w:w="4320"/>
          </w:tcPr>
          <w:p>
            <w:r>
              <w:t>Halfwaardetijd ongeveer 10–13 uur voor DOAC’s, VKA’s verschillen sterk</w:t>
            </w:r>
          </w:p>
        </w:tc>
        <w:tc>
          <w:tcPr>
            <w:tcW w:type="dxa" w:w="4320"/>
          </w:tcPr>
          <w:p>
            <w:r>
              <w:t>Tabletvorm</w:t>
            </w:r>
          </w:p>
        </w:tc>
      </w:tr>
    </w:tbl>
    <w:p>
      <w:pPr>
        <w:pStyle w:val="Heading4"/>
      </w:pPr>
      <w:r>
        <w:t>Duur van de behandeling</w:t>
      </w:r>
    </w:p>
    <w:p>
      <w:r>
        <w:t>De optimale duur van de behandeling hangt af van het risico op:</w:t>
      </w:r>
    </w:p>
    <w:p>
      <w:pPr>
        <w:pStyle w:val="ListBullet"/>
      </w:pPr>
      <w:r>
        <w:rPr>
          <w:b/>
        </w:rPr>
        <w:t>terugkeer van trombose</w:t>
      </w:r>
      <w:r>
        <w:t>;</w:t>
      </w:r>
    </w:p>
    <w:p>
      <w:pPr>
        <w:pStyle w:val="ListBullet"/>
      </w:pPr>
      <w:r>
        <w:rPr>
          <w:b/>
        </w:rPr>
        <w:t>bloeding tijdens antistolling</w:t>
      </w:r>
      <w:r>
        <w:t>.</w:t>
      </w:r>
    </w:p>
    <w:p>
      <w:r>
        <w:t xml:space="preserve">Bij een </w:t>
      </w:r>
      <w:r>
        <w:rPr>
          <w:b/>
        </w:rPr>
        <w:t>eerste event</w:t>
      </w:r>
      <w:r>
        <w:t xml:space="preserve"> geldt:</w:t>
      </w:r>
    </w:p>
    <w:p>
      <w:pPr>
        <w:pStyle w:val="ListBullet"/>
      </w:pPr>
      <w:r>
        <w:rPr>
          <w:b/>
        </w:rPr>
        <w:t>tijdelijke risicofactor</w:t>
      </w:r>
      <w:r>
        <w:t xml:space="preserve">: behandeling </w:t>
      </w:r>
      <w:r>
        <w:rPr>
          <w:b/>
        </w:rPr>
        <w:t>3 maanden</w:t>
      </w:r>
      <w:r>
        <w:t>;</w:t>
      </w:r>
    </w:p>
    <w:p>
      <w:pPr>
        <w:pStyle w:val="ListBullet"/>
      </w:pPr>
      <w:r>
        <w:rPr>
          <w:b/>
        </w:rPr>
        <w:t>idiopathisch</w:t>
      </w:r>
      <w:r>
        <w:t xml:space="preserve">: behandeling </w:t>
      </w:r>
      <w:r>
        <w:rPr>
          <w:b/>
        </w:rPr>
        <w:t>onbeperkt</w:t>
      </w:r>
      <w:r>
        <w:t xml:space="preserve">, tenzij er sprake is van een bloedingsrisico; dit wordt </w:t>
      </w:r>
      <w:r>
        <w:rPr>
          <w:b/>
        </w:rPr>
        <w:t>jaarlijks geëvalueerd</w:t>
      </w:r>
      <w:r>
        <w:t>.</w:t>
      </w:r>
    </w:p>
    <w:p>
      <w:r>
        <w:t xml:space="preserve">Bij een </w:t>
      </w:r>
      <w:r>
        <w:rPr>
          <w:b/>
        </w:rPr>
        <w:t>tweede (recidief) trombose</w:t>
      </w:r>
      <w:r>
        <w:t xml:space="preserve"> geldt: </w:t>
      </w:r>
      <w:r>
        <w:rPr>
          <w:b/>
        </w:rPr>
        <w:t>onbeperkte duur antistolling</w:t>
      </w:r>
      <w:r>
        <w:t>.</w:t>
      </w:r>
    </w:p>
    <w:p>
      <w:pPr>
        <w:pStyle w:val="Heading5"/>
      </w:pPr>
      <w:r>
        <w:t>Tabel 5. Voorbeelden van tijdelijke en niet-tijdelijke risicofactoren</w:t>
      </w:r>
    </w:p>
    <w:tbl>
      <w:tblPr>
        <w:tblStyle w:val="TableGrid"/>
        <w:tblW w:type="auto" w:w="0"/>
        <w:tblLook w:firstColumn="1" w:firstRow="1" w:lastColumn="0" w:lastRow="0" w:noHBand="0" w:noVBand="1" w:val="04A0"/>
      </w:tblPr>
      <w:tblGrid>
        <w:gridCol w:w="4320"/>
        <w:gridCol w:w="4320"/>
      </w:tblGrid>
      <w:tr>
        <w:tc>
          <w:tcPr>
            <w:tcW w:type="dxa" w:w="4320"/>
          </w:tcPr>
          <w:p>
            <w:r>
              <w:t>Tijdelijke risicofactoren</w:t>
            </w:r>
          </w:p>
        </w:tc>
        <w:tc>
          <w:tcPr>
            <w:tcW w:type="dxa" w:w="4320"/>
          </w:tcPr>
          <w:p>
            <w:r>
              <w:t>Idiopathische of niet-tijdelijke risicofactoren</w:t>
            </w:r>
          </w:p>
        </w:tc>
      </w:tr>
      <w:tr>
        <w:tc>
          <w:tcPr>
            <w:tcW w:type="dxa" w:w="4320"/>
          </w:tcPr>
          <w:p>
            <w:r>
              <w:t>Tijdelijke centrale veneuze lijn</w:t>
            </w:r>
          </w:p>
        </w:tc>
        <w:tc>
          <w:tcPr>
            <w:tcW w:type="dxa" w:w="4320"/>
          </w:tcPr>
          <w:p>
            <w:r>
              <w:t>Permanente centrale lijn</w:t>
            </w:r>
          </w:p>
        </w:tc>
      </w:tr>
      <w:tr>
        <w:tc>
          <w:tcPr>
            <w:tcW w:type="dxa" w:w="4320"/>
          </w:tcPr>
          <w:p>
            <w:r>
              <w:t>Immobiliteit, gedefinieerd als &gt; 3 dagen bedrust</w:t>
            </w:r>
          </w:p>
        </w:tc>
        <w:tc>
          <w:tcPr>
            <w:tcW w:type="dxa" w:w="4320"/>
          </w:tcPr>
          <w:p>
            <w:r>
              <w:t>Chronische leukemie</w:t>
            </w:r>
          </w:p>
        </w:tc>
      </w:tr>
      <w:tr>
        <w:tc>
          <w:tcPr>
            <w:tcW w:type="dxa" w:w="4320"/>
          </w:tcPr>
          <w:p>
            <w:r>
              <w:t>Orale anticonceptiva of hormoonsubstitutie die gestopt wordt</w:t>
            </w:r>
          </w:p>
        </w:tc>
        <w:tc>
          <w:tcPr>
            <w:tcW w:type="dxa" w:w="4320"/>
          </w:tcPr>
          <w:p>
            <w:r>
              <w:t>Orale anticonceptie die niet gestopt kan worden, bijvoorbeeld bij endometriose</w:t>
            </w:r>
          </w:p>
        </w:tc>
      </w:tr>
      <w:tr>
        <w:tc>
          <w:tcPr>
            <w:tcW w:type="dxa" w:w="4320"/>
          </w:tcPr>
          <w:p>
            <w:r>
              <w:t>Gipsimmobilisatie</w:t>
            </w:r>
          </w:p>
        </w:tc>
        <w:tc>
          <w:tcPr>
            <w:tcW w:type="dxa" w:w="4320"/>
          </w:tcPr>
          <w:p>
            <w:r>
              <w:t>Inflammatoire darmziekte</w:t>
            </w:r>
          </w:p>
        </w:tc>
      </w:tr>
      <w:tr>
        <w:tc>
          <w:tcPr>
            <w:tcW w:type="dxa" w:w="4320"/>
          </w:tcPr>
          <w:p>
            <w:r>
              <w:t>Morbide obesitas indien later niet meer aanwezig</w:t>
            </w:r>
          </w:p>
        </w:tc>
        <w:tc>
          <w:tcPr>
            <w:tcW w:type="dxa" w:w="4320"/>
          </w:tcPr>
          <w:p>
            <w:r>
              <w:t>Zonder aanwijsbare oorzaak, “uit het niets ontstaan”</w:t>
            </w:r>
          </w:p>
        </w:tc>
      </w:tr>
      <w:tr>
        <w:tc>
          <w:tcPr>
            <w:tcW w:type="dxa" w:w="4320"/>
          </w:tcPr>
          <w:p>
            <w:r>
              <w:t>Operatie</w:t>
            </w:r>
          </w:p>
        </w:tc>
        <w:tc>
          <w:tcPr>
            <w:tcW w:type="dxa" w:w="4320"/>
          </w:tcPr>
          <w:p>
            <w:r/>
          </w:p>
        </w:tc>
      </w:tr>
      <w:tr>
        <w:tc>
          <w:tcPr>
            <w:tcW w:type="dxa" w:w="4320"/>
          </w:tcPr>
          <w:p>
            <w:r>
              <w:t>Zwangerschap / kraambed</w:t>
            </w:r>
          </w:p>
        </w:tc>
        <w:tc>
          <w:tcPr>
            <w:tcW w:type="dxa" w:w="4320"/>
          </w:tcPr>
          <w:p>
            <w:r/>
          </w:p>
        </w:tc>
      </w:tr>
    </w:tbl>
    <w:p>
      <w:pPr>
        <w:pStyle w:val="Heading4"/>
      </w:pPr>
      <w:r>
        <w:t>Bloedingen bij orale antistolling</w:t>
      </w:r>
    </w:p>
    <w:p>
      <w:r>
        <w:t>Onder orale antistolling geldt:</w:t>
      </w:r>
    </w:p>
    <w:p>
      <w:pPr>
        <w:pStyle w:val="ListBullet"/>
      </w:pPr>
      <w:r>
        <w:t xml:space="preserve">ongeveer </w:t>
      </w:r>
      <w:r>
        <w:rPr>
          <w:b/>
        </w:rPr>
        <w:t>1% per jaar</w:t>
      </w:r>
      <w:r>
        <w:t xml:space="preserve"> kans op ernstige bloeding;</w:t>
      </w:r>
    </w:p>
    <w:p>
      <w:pPr>
        <w:pStyle w:val="ListBullet"/>
      </w:pPr>
      <w:r>
        <w:t xml:space="preserve">ongeveer </w:t>
      </w:r>
      <w:r>
        <w:rPr>
          <w:b/>
        </w:rPr>
        <w:t>0,25%</w:t>
      </w:r>
      <w:r>
        <w:t xml:space="preserve"> kans op fatale bloeding.</w:t>
      </w:r>
    </w:p>
    <w:p>
      <w:r>
        <w:t>De kans op bloedingen is hoger bij:</w:t>
      </w:r>
    </w:p>
    <w:p>
      <w:pPr>
        <w:pStyle w:val="ListBullet"/>
      </w:pPr>
      <w:r>
        <w:t>hogere leeftijd;</w:t>
      </w:r>
    </w:p>
    <w:p>
      <w:pPr>
        <w:pStyle w:val="ListBullet"/>
      </w:pPr>
      <w:r>
        <w:t>maligniteit;</w:t>
      </w:r>
    </w:p>
    <w:p>
      <w:pPr>
        <w:pStyle w:val="ListBullet"/>
      </w:pPr>
      <w:r>
        <w:t>acenocoumarol versus fenprocoumon;</w:t>
      </w:r>
    </w:p>
    <w:p>
      <w:pPr>
        <w:pStyle w:val="ListBullet"/>
      </w:pPr>
      <w:r>
        <w:t>VKA versus DOAC.</w:t>
      </w:r>
    </w:p>
    <w:p>
      <w:pPr>
        <w:pStyle w:val="Heading4"/>
      </w:pPr>
      <w:r>
        <w:t>Posttrombotisch syndroom (PTS)</w:t>
      </w:r>
    </w:p>
    <w:p>
      <w:r>
        <w:t xml:space="preserve">Veel patiënten krijgen na een trombosebeen klachten die passen bij het </w:t>
      </w:r>
      <w:r>
        <w:rPr>
          <w:b/>
        </w:rPr>
        <w:t>posttrombotisch syndroom</w:t>
      </w:r>
      <w:r>
        <w:t xml:space="preserve">. Deze klachten ontstaan door </w:t>
      </w:r>
      <w:r>
        <w:rPr>
          <w:b/>
        </w:rPr>
        <w:t>veneuze hypertensie</w:t>
      </w:r>
      <w:r>
        <w:t xml:space="preserve">, die weer ontstaat door </w:t>
      </w:r>
      <w:r>
        <w:rPr>
          <w:b/>
        </w:rPr>
        <w:t>persistente veneuze obstructie</w:t>
      </w:r>
      <w:r>
        <w:t xml:space="preserve"> en </w:t>
      </w:r>
      <w:r>
        <w:rPr>
          <w:b/>
        </w:rPr>
        <w:t>klepschade</w:t>
      </w:r>
      <w:r>
        <w:t>.</w:t>
      </w:r>
    </w:p>
    <w:p>
      <w:pPr>
        <w:pStyle w:val="Heading5"/>
      </w:pPr>
      <w:r>
        <w:t>Klachten bij PTS</w:t>
      </w:r>
    </w:p>
    <w:p>
      <w:r>
        <w:t>Klachten die kunnen passen bij PTS zijn onder andere:</w:t>
      </w:r>
    </w:p>
    <w:p>
      <w:pPr>
        <w:pStyle w:val="ListBullet"/>
      </w:pPr>
      <w:r>
        <w:t>pijn;</w:t>
      </w:r>
    </w:p>
    <w:p>
      <w:pPr>
        <w:pStyle w:val="ListBullet"/>
      </w:pPr>
      <w:r>
        <w:t>krampen;</w:t>
      </w:r>
    </w:p>
    <w:p>
      <w:pPr>
        <w:pStyle w:val="ListBullet"/>
      </w:pPr>
      <w:r>
        <w:t>zwaar gevoel;</w:t>
      </w:r>
    </w:p>
    <w:p>
      <w:pPr>
        <w:pStyle w:val="ListBullet"/>
      </w:pPr>
      <w:r>
        <w:t>paresthesieën;</w:t>
      </w:r>
    </w:p>
    <w:p>
      <w:pPr>
        <w:pStyle w:val="ListBullet"/>
      </w:pPr>
      <w:r>
        <w:t>jeuk;</w:t>
      </w:r>
    </w:p>
    <w:p>
      <w:pPr>
        <w:pStyle w:val="ListBullet"/>
      </w:pPr>
      <w:r>
        <w:t>pretibiaal oedeem;</w:t>
      </w:r>
    </w:p>
    <w:p>
      <w:pPr>
        <w:pStyle w:val="ListBullet"/>
      </w:pPr>
      <w:r>
        <w:t>induratie van de huid;</w:t>
      </w:r>
    </w:p>
    <w:p>
      <w:pPr>
        <w:pStyle w:val="ListBullet"/>
      </w:pPr>
      <w:r>
        <w:t>hyperpigmentatie;</w:t>
      </w:r>
    </w:p>
    <w:p>
      <w:pPr>
        <w:pStyle w:val="ListBullet"/>
      </w:pPr>
      <w:r>
        <w:t>roodheid;</w:t>
      </w:r>
    </w:p>
    <w:p>
      <w:pPr>
        <w:pStyle w:val="ListBullet"/>
      </w:pPr>
      <w:r>
        <w:t>veneuze ectasie;</w:t>
      </w:r>
    </w:p>
    <w:p>
      <w:pPr>
        <w:pStyle w:val="ListBullet"/>
      </w:pPr>
      <w:r>
        <w:t>pijn bij compressie van de kuit;</w:t>
      </w:r>
    </w:p>
    <w:p>
      <w:pPr>
        <w:pStyle w:val="ListBullet"/>
      </w:pPr>
      <w:r>
        <w:t>veneus ulcus.</w:t>
      </w:r>
    </w:p>
    <w:p>
      <w:pPr>
        <w:pStyle w:val="Heading5"/>
      </w:pPr>
      <w:r>
        <w:t>Villalta-score</w:t>
      </w:r>
    </w:p>
    <w:p>
      <w:r>
        <w:t xml:space="preserve">De klachten en klinische tekenen van PTS worden gescoord met de </w:t>
      </w:r>
      <w:r>
        <w:rPr>
          <w:b/>
        </w:rPr>
        <w:t>Villalta-score</w:t>
      </w:r>
      <w:r>
        <w:t>. Daarbij worden symptomen en klinische tekenen beoordeeld en opgeteld.</w:t>
      </w:r>
    </w:p>
    <w:p>
      <w:r>
        <w:t>De interpretatie is:</w:t>
      </w:r>
    </w:p>
    <w:p>
      <w:pPr>
        <w:pStyle w:val="ListBullet"/>
      </w:pPr>
      <w:r>
        <w:rPr>
          <w:b/>
        </w:rPr>
        <w:t>0–4 punten</w:t>
      </w:r>
      <w:r>
        <w:t>: geen PTS;</w:t>
      </w:r>
    </w:p>
    <w:p>
      <w:pPr>
        <w:pStyle w:val="ListBullet"/>
      </w:pPr>
      <w:r>
        <w:rPr>
          <w:b/>
        </w:rPr>
        <w:t>5–14 punten</w:t>
      </w:r>
      <w:r>
        <w:t>: milde / matige PTS;</w:t>
      </w:r>
    </w:p>
    <w:p>
      <w:pPr>
        <w:pStyle w:val="ListBullet"/>
      </w:pPr>
      <w:r>
        <w:rPr>
          <w:b/>
        </w:rPr>
        <w:t>&gt; 15 punten of aanwezigheid van ulcus</w:t>
      </w:r>
      <w:r>
        <w:t>: ernstige PTS.</w:t>
      </w:r>
    </w:p>
    <w:p>
      <w:pPr>
        <w:pStyle w:val="Heading5"/>
      </w:pPr>
      <w:r>
        <w:t>Tabel 6. Villalta-score in het kort</w:t>
      </w:r>
    </w:p>
    <w:tbl>
      <w:tblPr>
        <w:tblStyle w:val="TableGrid"/>
        <w:tblW w:type="auto" w:w="0"/>
        <w:tblLook w:firstColumn="1" w:firstRow="1" w:lastColumn="0" w:lastRow="0" w:noHBand="0" w:noVBand="1" w:val="04A0"/>
      </w:tblPr>
      <w:tblGrid>
        <w:gridCol w:w="4320"/>
        <w:gridCol w:w="4320"/>
      </w:tblGrid>
      <w:tr>
        <w:tc>
          <w:tcPr>
            <w:tcW w:type="dxa" w:w="4320"/>
          </w:tcPr>
          <w:p>
            <w:r>
              <w:t>Score</w:t>
            </w:r>
          </w:p>
        </w:tc>
        <w:tc>
          <w:tcPr>
            <w:tcW w:type="dxa" w:w="4320"/>
          </w:tcPr>
          <w:p>
            <w:r>
              <w:t>Betekenis</w:t>
            </w:r>
          </w:p>
        </w:tc>
      </w:tr>
      <w:tr>
        <w:tc>
          <w:tcPr>
            <w:tcW w:type="dxa" w:w="4320"/>
          </w:tcPr>
          <w:p>
            <w:r>
              <w:t>0–4</w:t>
            </w:r>
          </w:p>
        </w:tc>
        <w:tc>
          <w:tcPr>
            <w:tcW w:type="dxa" w:w="4320"/>
          </w:tcPr>
          <w:p>
            <w:r>
              <w:t>Geen PTS</w:t>
            </w:r>
          </w:p>
        </w:tc>
      </w:tr>
      <w:tr>
        <w:tc>
          <w:tcPr>
            <w:tcW w:type="dxa" w:w="4320"/>
          </w:tcPr>
          <w:p>
            <w:r>
              <w:t>5–14</w:t>
            </w:r>
          </w:p>
        </w:tc>
        <w:tc>
          <w:tcPr>
            <w:tcW w:type="dxa" w:w="4320"/>
          </w:tcPr>
          <w:p>
            <w:r>
              <w:t>Milde/matige PTS</w:t>
            </w:r>
          </w:p>
        </w:tc>
      </w:tr>
      <w:tr>
        <w:tc>
          <w:tcPr>
            <w:tcW w:type="dxa" w:w="4320"/>
          </w:tcPr>
          <w:p>
            <w:r>
              <w:t>&gt; 15 of ulcus aanwezig</w:t>
            </w:r>
          </w:p>
        </w:tc>
        <w:tc>
          <w:tcPr>
            <w:tcW w:type="dxa" w:w="4320"/>
          </w:tcPr>
          <w:p>
            <w:r>
              <w:t>Ernstige PTS</w:t>
            </w:r>
          </w:p>
        </w:tc>
      </w:tr>
    </w:tbl>
    <w:p>
      <w:pPr>
        <w:pStyle w:val="Heading4"/>
      </w:pPr>
      <w:r>
        <w:t>Behandeling en preventie van PTS</w:t>
      </w:r>
    </w:p>
    <w:p>
      <w:r>
        <w:t xml:space="preserve">De beste “behandeling” van PTS is eigenlijk </w:t>
      </w:r>
      <w:r>
        <w:rPr>
          <w:b/>
        </w:rPr>
        <w:t>preventie van trombose</w:t>
      </w:r>
      <w:r>
        <w:t>. Dat betekent dat tromboseprofylaxe belangrijk is bij hoog-risicosituaties, zoals:</w:t>
      </w:r>
    </w:p>
    <w:p>
      <w:pPr>
        <w:pStyle w:val="ListBullet"/>
      </w:pPr>
      <w:r>
        <w:t>orthopedische operaties;</w:t>
      </w:r>
    </w:p>
    <w:p>
      <w:pPr>
        <w:pStyle w:val="ListBullet"/>
      </w:pPr>
      <w:r>
        <w:t>opname in het ziekenhuis met bedrust.</w:t>
      </w:r>
    </w:p>
    <w:p>
      <w:r>
        <w:t xml:space="preserve">Als PTS toch ontstaan is, kan een </w:t>
      </w:r>
      <w:r>
        <w:rPr>
          <w:b/>
        </w:rPr>
        <w:t>elastische steunkous</w:t>
      </w:r>
      <w:r>
        <w:t xml:space="preserve"> helpen. Die ondersteunt de kuitspier, waardoor het veneuze bloed beter “omhoog gepompt” wordt. Bij een dik trombosebeen kan het soms verstandig zijn eerst te wachten tot de zwelling afneemt. Daarna wordt een steunkous aangemeten en geadviseerd om die zo veel mogelijk te dragen.</w:t>
      </w:r>
    </w:p>
    <w:p>
      <w:r>
        <w:t>Belangrijke kenmerken van de steunkous:</w:t>
      </w:r>
    </w:p>
    <w:p>
      <w:pPr>
        <w:pStyle w:val="ListBullet"/>
      </w:pPr>
      <w:r>
        <w:t xml:space="preserve">bij voorkeur </w:t>
      </w:r>
      <w:r>
        <w:rPr>
          <w:b/>
        </w:rPr>
        <w:t>klasse III</w:t>
      </w:r>
      <w:r>
        <w:t xml:space="preserve">: enkeldruk </w:t>
      </w:r>
      <w:r>
        <w:rPr>
          <w:b/>
        </w:rPr>
        <w:t>35–45 mmHg</w:t>
      </w:r>
      <w:r>
        <w:t>;</w:t>
      </w:r>
    </w:p>
    <w:p>
      <w:pPr>
        <w:pStyle w:val="ListBullet"/>
      </w:pPr>
      <w:r>
        <w:t xml:space="preserve">als klasse III niet haalbaar is, dan </w:t>
      </w:r>
      <w:r>
        <w:rPr>
          <w:b/>
        </w:rPr>
        <w:t>klasse II</w:t>
      </w:r>
      <w:r>
        <w:t xml:space="preserve">: enkeldruk </w:t>
      </w:r>
      <w:r>
        <w:rPr>
          <w:b/>
        </w:rPr>
        <w:t>25–35 mmHg</w:t>
      </w:r>
      <w:r>
        <w:t>;</w:t>
      </w:r>
    </w:p>
    <w:p>
      <w:pPr>
        <w:pStyle w:val="ListBullet"/>
      </w:pPr>
      <w:r>
        <w:t xml:space="preserve">zo goed mogelijk dragen, liefst </w:t>
      </w:r>
      <w:r>
        <w:rPr>
          <w:b/>
        </w:rPr>
        <w:t>minimaal 2 jaar</w:t>
      </w:r>
      <w:r>
        <w:t>.</w:t>
      </w:r>
    </w:p>
    <w:p>
      <w:pPr>
        <w:pStyle w:val="Heading4"/>
      </w:pPr>
      <w:r>
        <w:t>Samenvatting</w:t>
      </w:r>
    </w:p>
    <w:p>
      <w:r>
        <w:t>Trombose is de vorming van een stolsel in een bloedvat en kan veneus of arterieel zijn. De ontstaanswijze wordt beschreven met de trias van Virchow: vaatwandbeschadiging, stase en hypercoagulabiliteit. Bij verdenking op een trombosebeen kun je op basis van anamnese en lichamelijk onderzoek de diagnose niet veilig bevestigen of uitsluiten; daarom gebruik je klinische kansschatting, D-dimeer en zo nodig compressie-ultrasonografie. De behandeling bestaat uit antistolling om verdere fibrinevorming en embolie te voorkomen. VKA, heparine, LMWH en DOAC’s hebben elk hun eigen kenmerken, controle en bijwerkingen. Na een trombosebeen kan PTS ontstaan; dit wordt gescoord met de Villalta-score. De beste aanpak van PTS blijft preventie van trombose, en anders kan een elastische steunkous helpen.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