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41 – Volksgezondheidsindicatoren  DALY_s</w:t>
      </w:r>
    </w:p>
    <w:p>
      <w:pPr>
        <w:pStyle w:val="Heading4"/>
      </w:pPr>
      <w:r>
        <w:t>Leerdoelen</w:t>
      </w:r>
    </w:p>
    <w:p>
      <w:r>
        <w:t>Na het doornemen van deze stof kun je:</w:t>
      </w:r>
    </w:p>
    <w:p>
      <w:pPr>
        <w:pStyle w:val="ListBullet"/>
      </w:pPr>
      <w:r>
        <w:t xml:space="preserve">een </w:t>
      </w:r>
      <w:r>
        <w:rPr>
          <w:b/>
        </w:rPr>
        <w:t>‘public health’-diagnose</w:t>
      </w:r>
      <w:r>
        <w:t xml:space="preserve"> stellen aan de hand van de meest gebruikte volksgezondheidsindicatoren, zoals </w:t>
      </w:r>
      <w:r>
        <w:rPr>
          <w:b/>
        </w:rPr>
        <w:t>sterfte, levensverwachting en DALY’s</w:t>
      </w:r>
      <w:r>
        <w:t>;</w:t>
      </w:r>
    </w:p>
    <w:p>
      <w:pPr>
        <w:pStyle w:val="ListBullet"/>
      </w:pPr>
      <w:r>
        <w:t xml:space="preserve">uitleggen hoe </w:t>
      </w:r>
      <w:r>
        <w:rPr>
          <w:b/>
        </w:rPr>
        <w:t>verschillen in volksgezondheid op wereldschaal</w:t>
      </w:r>
      <w:r>
        <w:t xml:space="preserve"> samenhangen met verschillen in </w:t>
      </w:r>
      <w:r>
        <w:rPr>
          <w:b/>
        </w:rPr>
        <w:t>(sociale) determinanten van gezondheid</w:t>
      </w:r>
      <w:r>
        <w:t>.</w:t>
      </w:r>
    </w:p>
    <w:p>
      <w:pPr>
        <w:pStyle w:val="Heading4"/>
      </w:pPr>
      <w:r>
        <w:t>Volksgezondheidsmaten</w:t>
      </w:r>
    </w:p>
    <w:p>
      <w:r>
        <w:t>Om de gezondheidstoestand van een bevolking te beschrijven, worden verschillende maten gebruikt. Die zijn niet helemaal los van elkaar, maar ze leggen wel andere accenten. Het is handig om ze in vier groepen te verdelen.</w:t>
      </w:r>
    </w:p>
    <w:p>
      <w:r>
        <w:rPr>
          <w:b/>
        </w:rPr>
        <w:t>Tabel 1. Vier groepen volksgezondheidsmaten</w:t>
      </w:r>
    </w:p>
    <w:tbl>
      <w:tblPr>
        <w:tblStyle w:val="TableGrid"/>
        <w:tblW w:type="auto" w:w="0"/>
        <w:tblLook w:firstColumn="1" w:firstRow="1" w:lastColumn="0" w:lastRow="0" w:noHBand="0" w:noVBand="1" w:val="04A0"/>
      </w:tblPr>
      <w:tblGrid>
        <w:gridCol w:w="2880"/>
        <w:gridCol w:w="2880"/>
        <w:gridCol w:w="2880"/>
      </w:tblGrid>
      <w:tr>
        <w:tc>
          <w:tcPr>
            <w:tcW w:type="dxa" w:w="2880"/>
          </w:tcPr>
          <w:p>
            <w:r>
              <w:t>Groep</w:t>
            </w:r>
          </w:p>
        </w:tc>
        <w:tc>
          <w:tcPr>
            <w:tcW w:type="dxa" w:w="2880"/>
          </w:tcPr>
          <w:p>
            <w:r>
              <w:t>Waar gaat het om?</w:t>
            </w:r>
          </w:p>
        </w:tc>
        <w:tc>
          <w:tcPr>
            <w:tcW w:type="dxa" w:w="2880"/>
          </w:tcPr>
          <w:p>
            <w:r>
              <w:t>Voorbeelden</w:t>
            </w:r>
          </w:p>
        </w:tc>
      </w:tr>
      <w:tr>
        <w:tc>
          <w:tcPr>
            <w:tcW w:type="dxa" w:w="2880"/>
          </w:tcPr>
          <w:p>
            <w:r>
              <w:t>1. Ziekten en aandoeningen</w:t>
            </w:r>
          </w:p>
        </w:tc>
        <w:tc>
          <w:tcPr>
            <w:tcW w:type="dxa" w:w="2880"/>
          </w:tcPr>
          <w:p>
            <w:r>
              <w:t>De aan- of afwezigheid van ziekte</w:t>
            </w:r>
          </w:p>
        </w:tc>
        <w:tc>
          <w:tcPr>
            <w:tcW w:type="dxa" w:w="2880"/>
          </w:tcPr>
          <w:p>
            <w:r>
              <w:t>Incidentie, prevalentie, registraties van ziekten</w:t>
            </w:r>
          </w:p>
        </w:tc>
      </w:tr>
      <w:tr>
        <w:tc>
          <w:tcPr>
            <w:tcW w:type="dxa" w:w="2880"/>
          </w:tcPr>
          <w:p>
            <w:r>
              <w:t>2. Sterfte en doodsoorzaken</w:t>
            </w:r>
          </w:p>
        </w:tc>
        <w:tc>
          <w:tcPr>
            <w:tcW w:type="dxa" w:w="2880"/>
          </w:tcPr>
          <w:p>
            <w:r>
              <w:t>Wie overlijdt, en waaraan</w:t>
            </w:r>
          </w:p>
        </w:tc>
        <w:tc>
          <w:tcPr>
            <w:tcW w:type="dxa" w:w="2880"/>
          </w:tcPr>
          <w:p>
            <w:r>
              <w:t>Sterftecijfers, doodsoorzaken, levensverwachting, years of life lost</w:t>
            </w:r>
          </w:p>
        </w:tc>
      </w:tr>
      <w:tr>
        <w:tc>
          <w:tcPr>
            <w:tcW w:type="dxa" w:w="2880"/>
          </w:tcPr>
          <w:p>
            <w:r>
              <w:t>3. Functioneren en kwaliteit van leven</w:t>
            </w:r>
          </w:p>
        </w:tc>
        <w:tc>
          <w:tcPr>
            <w:tcW w:type="dxa" w:w="2880"/>
          </w:tcPr>
          <w:p>
            <w:r>
              <w:t>Hoe mensen functioneren en hoe zij hun gezondheid ervaren</w:t>
            </w:r>
          </w:p>
        </w:tc>
        <w:tc>
          <w:tcPr>
            <w:tcW w:type="dxa" w:w="2880"/>
          </w:tcPr>
          <w:p>
            <w:r>
              <w:t>Ervaren gezondheid, lichamelijke beperkingen, handicaps, psychisch welbevinden</w:t>
            </w:r>
          </w:p>
        </w:tc>
      </w:tr>
      <w:tr>
        <w:tc>
          <w:tcPr>
            <w:tcW w:type="dxa" w:w="2880"/>
          </w:tcPr>
          <w:p>
            <w:r>
              <w:t>4. Samengestelde volksgezondheidsmaten</w:t>
            </w:r>
          </w:p>
        </w:tc>
        <w:tc>
          <w:tcPr>
            <w:tcW w:type="dxa" w:w="2880"/>
          </w:tcPr>
          <w:p>
            <w:r>
              <w:t>Een samenvattende maat voor gezondheid</w:t>
            </w:r>
          </w:p>
        </w:tc>
        <w:tc>
          <w:tcPr>
            <w:tcW w:type="dxa" w:w="2880"/>
          </w:tcPr>
          <w:p>
            <w:r>
              <w:t>Levensverwachting, gezonde levensverwachting, DALY’s</w:t>
            </w:r>
          </w:p>
        </w:tc>
      </w:tr>
    </w:tbl>
    <w:p>
      <w:r>
        <w:t>Deze vier groepen geven samen een breed beeld. Zo zegt sterfte alleen niet alles: sommige aandoeningen veroorzaken weinig sterfte maar wel veel beperkingen en dus veel verlies aan kwaliteit van leven.</w:t>
      </w:r>
    </w:p>
    <w:p>
      <w:pPr>
        <w:pStyle w:val="Heading4"/>
      </w:pPr>
      <w:r>
        <w:t>Sterfte en levensverwachting</w:t>
      </w:r>
    </w:p>
    <w:p>
      <w:r>
        <w:t xml:space="preserve">Sterfte is een belangrijke maat voor volksgezondheid. Het gaat om het aantal sterfgevallen in een populatie, soms uitgesplitst naar doodsoorzaak. In de volksgezondheid wordt sterfte vaak samengevat in de </w:t>
      </w:r>
      <w:r>
        <w:rPr>
          <w:b/>
        </w:rPr>
        <w:t>levensverwachting</w:t>
      </w:r>
      <w:r>
        <w:t>.</w:t>
      </w:r>
    </w:p>
    <w:p>
      <w:r>
        <w:t xml:space="preserve">Levensverwachting bij geboorte betekent: het aantal jaren dat pasgeborenen gemiddeld kunnen verwachten te leven, </w:t>
      </w:r>
      <w:r>
        <w:rPr>
          <w:b/>
        </w:rPr>
        <w:t>als de sterftecijfers van dat jaar constant zouden blijven</w:t>
      </w:r>
      <w:r>
        <w:t>. Dat is dus een modelmatige schatting en geen letterlijk voorspelde leeftijd waarop ieder kind zal overlijden.</w:t>
      </w:r>
    </w:p>
    <w:p>
      <w:r>
        <w:t xml:space="preserve">Om levensverwachting te berekenen, wordt gebruikgemaakt van een </w:t>
      </w:r>
      <w:r>
        <w:rPr>
          <w:b/>
        </w:rPr>
        <w:t>overlevingstafel</w:t>
      </w:r>
      <w:r>
        <w:t>. Daarin staan per leeftijdsinterval verschillende grootheden.</w:t>
      </w:r>
    </w:p>
    <w:p>
      <w:r>
        <w:rPr>
          <w:b/>
        </w:rPr>
        <w:t>Tabel 2. Begrippen uit de overlevingstafel</w:t>
      </w:r>
    </w:p>
    <w:tbl>
      <w:tblPr>
        <w:tblStyle w:val="TableGrid"/>
        <w:tblW w:type="auto" w:w="0"/>
        <w:tblLook w:firstColumn="1" w:firstRow="1" w:lastColumn="0" w:lastRow="0" w:noHBand="0" w:noVBand="1" w:val="04A0"/>
      </w:tblPr>
      <w:tblGrid>
        <w:gridCol w:w="4320"/>
        <w:gridCol w:w="4320"/>
      </w:tblGrid>
      <w:tr>
        <w:tc>
          <w:tcPr>
            <w:tcW w:type="dxa" w:w="4320"/>
          </w:tcPr>
          <w:p>
            <w:r>
              <w:t>Symbool</w:t>
            </w:r>
          </w:p>
        </w:tc>
        <w:tc>
          <w:tcPr>
            <w:tcW w:type="dxa" w:w="4320"/>
          </w:tcPr>
          <w:p>
            <w:r>
              <w:t>Betekenis</w:t>
            </w:r>
          </w:p>
        </w:tc>
      </w:tr>
      <w:tr>
        <w:tc>
          <w:tcPr>
            <w:tcW w:type="dxa" w:w="4320"/>
          </w:tcPr>
          <w:p>
            <w:r>
              <w:t>q(x)</w:t>
            </w:r>
          </w:p>
        </w:tc>
        <w:tc>
          <w:tcPr>
            <w:tcW w:type="dxa" w:w="4320"/>
          </w:tcPr>
          <w:p>
            <w:r>
              <w:t>De kans om te overlijden in het leeftijdsinterval dat begint bij leeftijd x</w:t>
            </w:r>
          </w:p>
        </w:tc>
      </w:tr>
      <w:tr>
        <w:tc>
          <w:tcPr>
            <w:tcW w:type="dxa" w:w="4320"/>
          </w:tcPr>
          <w:p>
            <w:r>
              <w:t>l(x)</w:t>
            </w:r>
          </w:p>
        </w:tc>
        <w:tc>
          <w:tcPr>
            <w:tcW w:type="dxa" w:w="4320"/>
          </w:tcPr>
          <w:p>
            <w:r>
              <w:t>Het aantal personen dat aan het begin van dat leeftijdsinterval nog in leven is</w:t>
            </w:r>
          </w:p>
        </w:tc>
      </w:tr>
      <w:tr>
        <w:tc>
          <w:tcPr>
            <w:tcW w:type="dxa" w:w="4320"/>
          </w:tcPr>
          <w:p>
            <w:r>
              <w:t>d(x)</w:t>
            </w:r>
          </w:p>
        </w:tc>
        <w:tc>
          <w:tcPr>
            <w:tcW w:type="dxa" w:w="4320"/>
          </w:tcPr>
          <w:p>
            <w:r>
              <w:t>Het aantal personen dat in dat leeftijdsinterval overlijdt</w:t>
            </w:r>
          </w:p>
        </w:tc>
      </w:tr>
      <w:tr>
        <w:tc>
          <w:tcPr>
            <w:tcW w:type="dxa" w:w="4320"/>
          </w:tcPr>
          <w:p>
            <w:r>
              <w:t>e(x)</w:t>
            </w:r>
          </w:p>
        </w:tc>
        <w:tc>
          <w:tcPr>
            <w:tcW w:type="dxa" w:w="4320"/>
          </w:tcPr>
          <w:p>
            <w:r>
              <w:t>De levensverwachting op leeftijd x</w:t>
            </w:r>
          </w:p>
        </w:tc>
      </w:tr>
    </w:tbl>
    <w:p>
      <w:r>
        <w:t>De tabel laat zien dat het aantal personen dat nog leeft, van boven naar beneden daalt. Dat komt door sterfte. De berekening van het aantal geleefde jaren per interval gebeurt met de gedachte dat mensen gemiddeld halverwege het interval overlijden. Daarom wordt per leeftijdsinterval gerekend met:</w:t>
      </w:r>
    </w:p>
    <w:p>
      <w:pPr>
        <w:pStyle w:val="ListBullet"/>
      </w:pPr>
      <w:r>
        <w:rPr>
          <w:b/>
        </w:rPr>
        <w:t>duur van het interval × gemiddeld aantal personen dat leeft in dat interval</w:t>
      </w:r>
    </w:p>
    <w:p>
      <w:r>
        <w:t xml:space="preserve">Aandachtspunt:  </w:t>
        <w:br/>
      </w:r>
      <w:r>
        <w:rPr>
          <w:b/>
        </w:rPr>
        <w:t>Wat betekent q(x)?</w:t>
      </w:r>
      <w:r>
        <w:t xml:space="preserve">  </w:t>
        <w:br/>
        <w:t>Dat is de kans dat iemand binnen het betreffende leeftijdsinterval overlijdt.</w:t>
      </w:r>
    </w:p>
    <w:p>
      <w:r>
        <w:t xml:space="preserve">Een voorbeeld maakt dit duidelijk. In de tabel voor Nederlandse mannen uit 2012 is de levensverwachting bij geboorte ongeveer </w:t>
      </w:r>
      <w:r>
        <w:rPr>
          <w:b/>
        </w:rPr>
        <w:t>79,14 jaar</w:t>
      </w:r>
      <w:r>
        <w:t xml:space="preserve">. Voor een man van </w:t>
      </w:r>
      <w:r>
        <w:rPr>
          <w:b/>
        </w:rPr>
        <w:t>65 jaar</w:t>
      </w:r>
      <w:r>
        <w:t xml:space="preserve"> is de levensverwachting nog </w:t>
      </w:r>
      <w:r>
        <w:rPr>
          <w:b/>
        </w:rPr>
        <w:t>18,27 jaar</w:t>
      </w:r>
      <w:r>
        <w:t>. Dat betekent dus niet dat een pasgeboren jongen en een 65-jarige man met dezelfde levensverwachting te maken hebben; het gaat om verschillende startleeftijden en verschillende resterende jaren.</w:t>
      </w:r>
    </w:p>
    <w:p>
      <w:r>
        <w:t xml:space="preserve">Aandachtspunt:  </w:t>
        <w:br/>
      </w:r>
      <w:r>
        <w:rPr>
          <w:b/>
        </w:rPr>
        <w:t>Hoe kan het dat een 80-jarige nog een levensverwachting van 7,95 jaar heeft, terwijl de levensverwachting bij geboorte 79,14 jaar is?</w:t>
      </w:r>
      <w:r>
        <w:t xml:space="preserve">  </w:t>
        <w:br/>
        <w:t>Omdat levensverwachting bij geboorte gebaseerd is op de sterftekansen van dat ene jaar, terwijl een 80-jarige al een heel leven aan eerdere sterftekansen achter de rug heeft.</w:t>
      </w:r>
    </w:p>
    <w:p>
      <w:r>
        <w:t xml:space="preserve">Belangrijk is dus dat levensverwachting bij geboorte een </w:t>
      </w:r>
      <w:r>
        <w:rPr>
          <w:b/>
        </w:rPr>
        <w:t>periode-indicator</w:t>
      </w:r>
      <w:r>
        <w:t xml:space="preserve"> is. Als sterftekansen in de toekomst veranderen, kan de werkelijke levensduur van een geboortecohort hoger of lager uitvallen.</w:t>
      </w:r>
    </w:p>
    <w:p>
      <w:pPr>
        <w:pStyle w:val="Heading4"/>
      </w:pPr>
      <w:r>
        <w:t>Gezonde levensverwachting</w:t>
      </w:r>
    </w:p>
    <w:p>
      <w:r>
        <w:t xml:space="preserve">Levensverwachting zegt iets over hoeveel jaren mensen gemiddeld leven, maar niet over </w:t>
      </w:r>
      <w:r>
        <w:rPr>
          <w:b/>
        </w:rPr>
        <w:t>hoe gezond</w:t>
      </w:r>
      <w:r>
        <w:t xml:space="preserve"> die jaren zijn. Daarom bestaat ook de </w:t>
      </w:r>
      <w:r>
        <w:rPr>
          <w:b/>
        </w:rPr>
        <w:t>gezonde levensverwachting</w:t>
      </w:r>
      <w:r>
        <w:t>. Die schat het aantal gezonde resterende levensjaren van een man of vrouw van een bepaalde leeftijd, onder de aanname dat de omstandigheden in de toekomst gelijk blijven aan die van het gekozen jaar.</w:t>
      </w:r>
    </w:p>
    <w:p>
      <w:r>
        <w:t>De gezonde levensverwachting wordt in Nederland vooral beschreven op basis van vier gezondheidsbegrippen:</w:t>
      </w:r>
    </w:p>
    <w:p>
      <w:pPr>
        <w:pStyle w:val="ListBullet"/>
      </w:pPr>
      <w:r>
        <w:t xml:space="preserve">levensverwachting in </w:t>
      </w:r>
      <w:r>
        <w:rPr>
          <w:b/>
        </w:rPr>
        <w:t>als goed ervaren gezondheid</w:t>
      </w:r>
      <w:r>
        <w:t>;</w:t>
      </w:r>
    </w:p>
    <w:p>
      <w:pPr>
        <w:pStyle w:val="ListBullet"/>
      </w:pPr>
      <w:r>
        <w:t xml:space="preserve">levensverwachting </w:t>
      </w:r>
      <w:r>
        <w:rPr>
          <w:b/>
        </w:rPr>
        <w:t>zonder fysieke beperkingen</w:t>
      </w:r>
      <w:r>
        <w:t>;</w:t>
      </w:r>
    </w:p>
    <w:p>
      <w:pPr>
        <w:pStyle w:val="ListBullet"/>
      </w:pPr>
      <w:r>
        <w:t xml:space="preserve">levensverwachting </w:t>
      </w:r>
      <w:r>
        <w:rPr>
          <w:b/>
        </w:rPr>
        <w:t>zonder chronische ziekten</w:t>
      </w:r>
      <w:r>
        <w:t>;</w:t>
      </w:r>
    </w:p>
    <w:p>
      <w:pPr>
        <w:pStyle w:val="ListBullet"/>
      </w:pPr>
      <w:r>
        <w:t xml:space="preserve">levensverwachting in </w:t>
      </w:r>
      <w:r>
        <w:rPr>
          <w:b/>
        </w:rPr>
        <w:t>goede geestelijke gezondheid</w:t>
      </w:r>
      <w:r>
        <w:t>.</w:t>
      </w:r>
    </w:p>
    <w:p>
      <w:r>
        <w:t>De berekening gebeurt door eerst een overlevingstafel te maken. Daarna wordt het aantal geleefde jaren per leeftijdsklasse vermenigvuldigd met de prevalentie van gezondheid of ongezondheid in die leeftijdsklasse. De gegevens daarvoor komen uit de Gezondheidsenquête van het CBS.</w:t>
      </w:r>
    </w:p>
    <w:p>
      <w:r>
        <w:rPr>
          <w:b/>
        </w:rPr>
        <w:t>Tabel 3. Gezonde levensverwachting in Nederland</w:t>
      </w:r>
    </w:p>
    <w:tbl>
      <w:tblPr>
        <w:tblStyle w:val="TableGrid"/>
        <w:tblW w:type="auto" w:w="0"/>
        <w:tblLook w:firstColumn="1" w:firstRow="1" w:lastColumn="0" w:lastRow="0" w:noHBand="0" w:noVBand="1" w:val="04A0"/>
      </w:tblPr>
      <w:tblGrid>
        <w:gridCol w:w="2880"/>
        <w:gridCol w:w="2880"/>
        <w:gridCol w:w="2880"/>
      </w:tblGrid>
      <w:tr>
        <w:tc>
          <w:tcPr>
            <w:tcW w:type="dxa" w:w="2880"/>
          </w:tcPr>
          <w:p>
            <w:r>
              <w:t>Maat</w:t>
            </w:r>
          </w:p>
        </w:tc>
        <w:tc>
          <w:tcPr>
            <w:tcW w:type="dxa" w:w="2880"/>
          </w:tcPr>
          <w:p>
            <w:r>
              <w:t>Mannen</w:t>
            </w:r>
          </w:p>
        </w:tc>
        <w:tc>
          <w:tcPr>
            <w:tcW w:type="dxa" w:w="2880"/>
          </w:tcPr>
          <w:p>
            <w:r>
              <w:t>Vrouwen</w:t>
            </w:r>
          </w:p>
        </w:tc>
      </w:tr>
      <w:tr>
        <w:tc>
          <w:tcPr>
            <w:tcW w:type="dxa" w:w="2880"/>
          </w:tcPr>
          <w:p>
            <w:r>
              <w:t>Levensverwachting</w:t>
            </w:r>
          </w:p>
        </w:tc>
        <w:tc>
          <w:tcPr>
            <w:tcW w:type="dxa" w:w="2880"/>
          </w:tcPr>
          <w:p>
            <w:r>
              <w:t>80,06</w:t>
            </w:r>
          </w:p>
        </w:tc>
        <w:tc>
          <w:tcPr>
            <w:tcW w:type="dxa" w:w="2880"/>
          </w:tcPr>
          <w:p>
            <w:r>
              <w:t>83,32</w:t>
            </w:r>
          </w:p>
        </w:tc>
      </w:tr>
      <w:tr>
        <w:tc>
          <w:tcPr>
            <w:tcW w:type="dxa" w:w="2880"/>
          </w:tcPr>
          <w:p>
            <w:r>
              <w:t>LV in als goed ervaren gezondheid</w:t>
            </w:r>
          </w:p>
        </w:tc>
        <w:tc>
          <w:tcPr>
            <w:tcW w:type="dxa" w:w="2880"/>
          </w:tcPr>
          <w:p>
            <w:r>
              <w:t>65,0</w:t>
            </w:r>
          </w:p>
        </w:tc>
        <w:tc>
          <w:tcPr>
            <w:tcW w:type="dxa" w:w="2880"/>
          </w:tcPr>
          <w:p>
            <w:r>
              <w:t>63,8</w:t>
            </w:r>
          </w:p>
        </w:tc>
      </w:tr>
      <w:tr>
        <w:tc>
          <w:tcPr>
            <w:tcW w:type="dxa" w:w="2880"/>
          </w:tcPr>
          <w:p>
            <w:r>
              <w:t>LV zonder matige en ernstige beperking</w:t>
            </w:r>
          </w:p>
        </w:tc>
        <w:tc>
          <w:tcPr>
            <w:tcW w:type="dxa" w:w="2880"/>
          </w:tcPr>
          <w:p>
            <w:r>
              <w:t>73,2</w:t>
            </w:r>
          </w:p>
        </w:tc>
        <w:tc>
          <w:tcPr>
            <w:tcW w:type="dxa" w:w="2880"/>
          </w:tcPr>
          <w:p>
            <w:r>
              <w:t>70,7</w:t>
            </w:r>
          </w:p>
        </w:tc>
      </w:tr>
      <w:tr>
        <w:tc>
          <w:tcPr>
            <w:tcW w:type="dxa" w:w="2880"/>
          </w:tcPr>
          <w:p>
            <w:r>
              <w:t>LV zonder chronische ziekten</w:t>
            </w:r>
          </w:p>
        </w:tc>
        <w:tc>
          <w:tcPr>
            <w:tcW w:type="dxa" w:w="2880"/>
          </w:tcPr>
          <w:p>
            <w:r>
              <w:t>46,0</w:t>
            </w:r>
          </w:p>
        </w:tc>
        <w:tc>
          <w:tcPr>
            <w:tcW w:type="dxa" w:w="2880"/>
          </w:tcPr>
          <w:p>
            <w:r>
              <w:t>41,4</w:t>
            </w:r>
          </w:p>
        </w:tc>
      </w:tr>
      <w:tr>
        <w:tc>
          <w:tcPr>
            <w:tcW w:type="dxa" w:w="2880"/>
          </w:tcPr>
          <w:p>
            <w:r>
              <w:t>LV in goede geestelijke gezondheid</w:t>
            </w:r>
          </w:p>
        </w:tc>
        <w:tc>
          <w:tcPr>
            <w:tcW w:type="dxa" w:w="2880"/>
          </w:tcPr>
          <w:p>
            <w:r>
              <w:t>73,7</w:t>
            </w:r>
          </w:p>
        </w:tc>
        <w:tc>
          <w:tcPr>
            <w:tcW w:type="dxa" w:w="2880"/>
          </w:tcPr>
          <w:p>
            <w:r>
              <w:t>73,7</w:t>
            </w:r>
          </w:p>
        </w:tc>
      </w:tr>
    </w:tbl>
    <w:p>
      <w:r>
        <w:t>Hier zie je meteen dat gezonde levensverwachting veel informatie toevoegt. Twee mensen kunnen even oud worden, maar toch een heel verschillende hoeveelheid gezonde jaren hebben.</w:t>
      </w:r>
    </w:p>
    <w:p>
      <w:pPr>
        <w:pStyle w:val="Heading4"/>
      </w:pPr>
      <w:r>
        <w:t>Aandacht bij de interpretatie van levensverwachting</w:t>
      </w:r>
    </w:p>
    <w:p>
      <w:r>
        <w:t>Het is belangrijk om levensverwachting goed te begrijpen. Het getal geeft niet aan dat iedereen precies zo oud wordt. Het betekent dat als de sterftekansen van dat jaar gedurende het hele leven van een cohort gelijk zouden blijven, mensen gemiddeld zo oud zouden worden.</w:t>
      </w:r>
    </w:p>
    <w:p>
      <w:r>
        <w:t>Dit heeft ook een keerzijde: als sterftekansen in de loop van de tijd dalen of stijgen, dan kan de levensverwachting bij geboorte de werkelijke levensduur onderschatten of overschatten.</w:t>
      </w:r>
    </w:p>
    <w:p>
      <w:pPr>
        <w:pStyle w:val="Heading4"/>
      </w:pPr>
      <w:r>
        <w:t>DALY’s: ziektelast in één maat</w:t>
      </w:r>
    </w:p>
    <w:p>
      <w:r>
        <w:t xml:space="preserve">Een heel belangrijke samengestelde maat is de </w:t>
      </w:r>
      <w:r>
        <w:rPr>
          <w:b/>
        </w:rPr>
        <w:t>DALY</w:t>
      </w:r>
      <w:r>
        <w:t xml:space="preserve">: </w:t>
      </w:r>
      <w:r>
        <w:rPr>
          <w:b/>
        </w:rPr>
        <w:t>disability-adjusted life year</w:t>
      </w:r>
      <w:r>
        <w:t>. Een DALY is één verloren gezond levensjaar. De DALY combineert dus twee onderdelen van ziektelast:</w:t>
      </w:r>
    </w:p>
    <w:p>
      <w:pPr>
        <w:pStyle w:val="ListBullet"/>
      </w:pPr>
      <w:r>
        <w:rPr>
          <w:b/>
        </w:rPr>
        <w:t>YLL</w:t>
      </w:r>
      <w:r>
        <w:t xml:space="preserve"> = years of life lost, dus verloren levensjaren door voortijdige sterfte;</w:t>
      </w:r>
    </w:p>
    <w:p>
      <w:pPr>
        <w:pStyle w:val="ListBullet"/>
      </w:pPr>
      <w:r>
        <w:rPr>
          <w:b/>
        </w:rPr>
        <w:t>YLD</w:t>
      </w:r>
      <w:r>
        <w:t xml:space="preserve"> = years lived with disability, dus jaren geleefd met ziekte of beperking.</w:t>
      </w:r>
    </w:p>
    <w:p>
      <w:r>
        <w:t>Samen geldt:</w:t>
      </w:r>
    </w:p>
    <w:p>
      <w:r>
        <w:rPr>
          <w:b/>
        </w:rPr>
        <w:t>DALY = YLL + YLD</w:t>
      </w:r>
    </w:p>
    <w:p>
      <w:r>
        <w:t>Het grote voordeel van de DALY is dat sterfte en niet-fataal verlies van gezondheid in één maat kunnen worden samengebracht. Daardoor kun je ziektelast van heel verschillende aandoeningen met elkaar vergelijken.</w:t>
      </w:r>
    </w:p>
    <w:p>
      <w:r>
        <w:t xml:space="preserve">Aandachtspunt:  </w:t>
        <w:br/>
      </w:r>
      <w:r>
        <w:rPr>
          <w:b/>
        </w:rPr>
        <w:t>Wat zegt 1 DALY?</w:t>
      </w:r>
      <w:r>
        <w:t xml:space="preserve">  </w:t>
        <w:br/>
        <w:t>Dat staat voor één jaar gezond leven dat verloren is gegaan.</w:t>
      </w:r>
    </w:p>
    <w:p>
      <w:r>
        <w:t xml:space="preserve">Een voorbeeld laat dit goed zien. Stel een vrouw krijgt op 20-jarige leeftijd door een auto-ongeluk een ernstige beperking, en later overlijdt zij op 80-jarige leeftijd. In het uitgewerkte voorbeeld verliest zij in totaal </w:t>
      </w:r>
      <w:r>
        <w:rPr>
          <w:b/>
        </w:rPr>
        <w:t>58 DALY’s</w:t>
      </w:r>
      <w:r>
        <w:t>. Dat bestaat uit:</w:t>
      </w:r>
    </w:p>
    <w:p>
      <w:pPr>
        <w:pStyle w:val="ListBullet"/>
      </w:pPr>
      <w:r>
        <w:t>jaren met beperking na het ongeluk;</w:t>
      </w:r>
    </w:p>
    <w:p>
      <w:pPr>
        <w:pStyle w:val="ListBullet"/>
      </w:pPr>
      <w:r>
        <w:t>en de jaren die zij door vroegtijdige sterfte niet meer heeft kunnen leven.</w:t>
      </w:r>
    </w:p>
    <w:p>
      <w:r>
        <w:t>Bij een populatie van drie personen kan de DALY-verliessom ook per persoon worden berekend. Dan zie je hoe YLL en YLD samen optellen tot het totaal.</w:t>
      </w:r>
    </w:p>
    <w:p>
      <w:r>
        <w:rPr>
          <w:b/>
        </w:rPr>
        <w:t>Tabel 4. Voorbeeld van DALY-verlies in een populatie van drie personen</w:t>
      </w:r>
    </w:p>
    <w:tbl>
      <w:tblPr>
        <w:tblStyle w:val="TableGrid"/>
        <w:tblW w:type="auto" w:w="0"/>
        <w:tblLook w:firstColumn="1" w:firstRow="1" w:lastColumn="0" w:lastRow="0" w:noHBand="0" w:noVBand="1" w:val="04A0"/>
      </w:tblPr>
      <w:tblGrid>
        <w:gridCol w:w="2880"/>
        <w:gridCol w:w="2880"/>
        <w:gridCol w:w="2880"/>
      </w:tblGrid>
      <w:tr>
        <w:tc>
          <w:tcPr>
            <w:tcW w:type="dxa" w:w="2880"/>
          </w:tcPr>
          <w:p>
            <w:r>
              <w:t>Persoon</w:t>
            </w:r>
          </w:p>
        </w:tc>
        <w:tc>
          <w:tcPr>
            <w:tcW w:type="dxa" w:w="2880"/>
          </w:tcPr>
          <w:p>
            <w:r>
              <w:t>Situatie</w:t>
            </w:r>
          </w:p>
        </w:tc>
        <w:tc>
          <w:tcPr>
            <w:tcW w:type="dxa" w:w="2880"/>
          </w:tcPr>
          <w:p>
            <w:r>
              <w:t>Verlies in DALY’s</w:t>
            </w:r>
          </w:p>
        </w:tc>
      </w:tr>
      <w:tr>
        <w:tc>
          <w:tcPr>
            <w:tcW w:type="dxa" w:w="2880"/>
          </w:tcPr>
          <w:p>
            <w:r>
              <w:t>Mevrouw 1</w:t>
            </w:r>
          </w:p>
        </w:tc>
        <w:tc>
          <w:tcPr>
            <w:tcW w:type="dxa" w:w="2880"/>
          </w:tcPr>
          <w:p>
            <w:r>
              <w:t>Niet-fataal auto-ongeluk op 20-jarige leeftijd</w:t>
            </w:r>
          </w:p>
        </w:tc>
        <w:tc>
          <w:tcPr>
            <w:tcW w:type="dxa" w:w="2880"/>
          </w:tcPr>
          <w:p>
            <w:r>
              <w:t>36</w:t>
            </w:r>
          </w:p>
        </w:tc>
      </w:tr>
      <w:tr>
        <w:tc>
          <w:tcPr>
            <w:tcW w:type="dxa" w:w="2880"/>
          </w:tcPr>
          <w:p>
            <w:r>
              <w:t>Persoon 2</w:t>
            </w:r>
          </w:p>
        </w:tc>
        <w:tc>
          <w:tcPr>
            <w:tcW w:type="dxa" w:w="2880"/>
          </w:tcPr>
          <w:p>
            <w:r>
              <w:t>Fataal auto-ongeluk op 45-jarige leeftijd</w:t>
            </w:r>
          </w:p>
        </w:tc>
        <w:tc>
          <w:tcPr>
            <w:tcW w:type="dxa" w:w="2880"/>
          </w:tcPr>
          <w:p>
            <w:r>
              <w:t>35</w:t>
            </w:r>
          </w:p>
        </w:tc>
      </w:tr>
      <w:tr>
        <w:tc>
          <w:tcPr>
            <w:tcW w:type="dxa" w:w="2880"/>
          </w:tcPr>
          <w:p>
            <w:r>
              <w:t>Persoon 3</w:t>
            </w:r>
          </w:p>
        </w:tc>
        <w:tc>
          <w:tcPr>
            <w:tcW w:type="dxa" w:w="2880"/>
          </w:tcPr>
          <w:p>
            <w:r>
              <w:t>Auto-ongeluk op 50-jarige leeftijd, kwaliteit van leven daalt blijvend van 1,0 naar 0,6, overlijden op 80-jarige leeftijd</w:t>
            </w:r>
          </w:p>
        </w:tc>
        <w:tc>
          <w:tcPr>
            <w:tcW w:type="dxa" w:w="2880"/>
          </w:tcPr>
          <w:p>
            <w:r>
              <w:t>12</w:t>
            </w:r>
          </w:p>
        </w:tc>
      </w:tr>
      <w:tr>
        <w:tc>
          <w:tcPr>
            <w:tcW w:type="dxa" w:w="2880"/>
          </w:tcPr>
          <w:p>
            <w:r>
              <w:t>Totaal</w:t>
            </w:r>
          </w:p>
        </w:tc>
        <w:tc>
          <w:tcPr>
            <w:tcW w:type="dxa" w:w="2880"/>
          </w:tcPr>
          <w:p>
            <w:r>
              <w:t>Som van de drie personen</w:t>
            </w:r>
          </w:p>
        </w:tc>
        <w:tc>
          <w:tcPr>
            <w:tcW w:type="dxa" w:w="2880"/>
          </w:tcPr>
          <w:p>
            <w:r>
              <w:t>83</w:t>
            </w:r>
          </w:p>
        </w:tc>
      </w:tr>
    </w:tbl>
    <w:p>
      <w:r>
        <w:t>Daarmee wordt duidelijk dat ook iemand die niet vroeg sterft, toch veel DALY’s kan verliezen door langdurige beperking.</w:t>
      </w:r>
    </w:p>
    <w:p>
      <w:pPr>
        <w:pStyle w:val="Heading4"/>
      </w:pPr>
      <w:r>
        <w:t>Gezondheid en ziektelast op wereldschaal</w:t>
      </w:r>
    </w:p>
    <w:p>
      <w:r>
        <w:t xml:space="preserve">De DALY is ontwikkeld binnen het </w:t>
      </w:r>
      <w:r>
        <w:rPr>
          <w:b/>
        </w:rPr>
        <w:t>Global Burden of Disease</w:t>
      </w:r>
      <w:r>
        <w:t xml:space="preserve">-programma, dat wereldwijd de ziektelast beschrijft. Het doel is om op een gestandaardiseerde manier de gezondheidstoestand van de wereldbevolking te vergelijken en zo informatie te geven voor </w:t>
      </w:r>
      <w:r>
        <w:rPr>
          <w:b/>
        </w:rPr>
        <w:t>evidence-based health policy</w:t>
      </w:r>
      <w:r>
        <w:t>.</w:t>
      </w:r>
    </w:p>
    <w:p>
      <w:r>
        <w:t>De oorzaken van sterfte en DALY’s worden meestal in drie hoofdgroepen verdeeld:</w:t>
      </w:r>
    </w:p>
    <w:p>
      <w:pPr>
        <w:pStyle w:val="ListNumber"/>
      </w:pPr>
      <w:r>
        <w:rPr>
          <w:b/>
        </w:rPr>
        <w:t>Communicable diseases, maternal and perinatal conditions and nutritional deficiencies</w:t>
      </w:r>
    </w:p>
    <w:p>
      <w:pPr>
        <w:pStyle w:val="ListNumber"/>
      </w:pPr>
      <w:r>
        <w:rPr>
          <w:b/>
        </w:rPr>
        <w:t>Noncommunicable conditions</w:t>
      </w:r>
    </w:p>
    <w:p>
      <w:pPr>
        <w:pStyle w:val="ListNumber"/>
      </w:pPr>
      <w:r>
        <w:rPr>
          <w:b/>
        </w:rPr>
        <w:t>Injuries</w:t>
      </w:r>
    </w:p>
    <w:p>
      <w:r>
        <w:t>Dat is belangrijk, omdat de verdeling van deze groepen per wereldregio of inkomensgroep sterk verschilt.</w:t>
      </w:r>
    </w:p>
    <w:p>
      <w:r>
        <w:t>In de globale analyse van sterfte en DALY’s zie je dat de grootste bijdragers onder meer zijn:</w:t>
      </w:r>
    </w:p>
    <w:p>
      <w:pPr>
        <w:pStyle w:val="ListBullet"/>
      </w:pPr>
      <w:r>
        <w:rPr>
          <w:b/>
        </w:rPr>
        <w:t>malignant neoplasms</w:t>
      </w:r>
      <w:r>
        <w:t>;</w:t>
      </w:r>
    </w:p>
    <w:p>
      <w:pPr>
        <w:pStyle w:val="ListBullet"/>
      </w:pPr>
      <w:r>
        <w:rPr>
          <w:b/>
        </w:rPr>
        <w:t>cardiovascular diseases</w:t>
      </w:r>
      <w:r>
        <w:t>;</w:t>
      </w:r>
    </w:p>
    <w:p>
      <w:pPr>
        <w:pStyle w:val="ListBullet"/>
      </w:pPr>
      <w:r>
        <w:rPr>
          <w:b/>
        </w:rPr>
        <w:t>infectious and parasitic diseases</w:t>
      </w:r>
      <w:r>
        <w:t>.</w:t>
      </w:r>
    </w:p>
    <w:p>
      <w:r>
        <w:t>Tegelijk vallen ook andere categorieën op als belangrijke bijdragers aan DALY’s, zoals:</w:t>
      </w:r>
    </w:p>
    <w:p>
      <w:pPr>
        <w:pStyle w:val="ListBullet"/>
      </w:pPr>
      <w:r>
        <w:rPr>
          <w:b/>
        </w:rPr>
        <w:t>mental and substance use disorders</w:t>
      </w:r>
      <w:r>
        <w:t>;</w:t>
      </w:r>
    </w:p>
    <w:p>
      <w:pPr>
        <w:pStyle w:val="ListBullet"/>
      </w:pPr>
      <w:r>
        <w:rPr>
          <w:b/>
        </w:rPr>
        <w:t>neonatal conditions</w:t>
      </w:r>
      <w:r>
        <w:t>.</w:t>
      </w:r>
    </w:p>
    <w:p>
      <w:r>
        <w:t>Die laatste veroorzaken niet altijd veel sterfte in absolute aantallen, maar wel veel ziektelast, vooral doordat ze op jonge leeftijd optreden of langdurige beperkingen geven.</w:t>
      </w:r>
    </w:p>
    <w:p>
      <w:pPr>
        <w:pStyle w:val="Heading4"/>
      </w:pPr>
      <w:r>
        <w:t>Gezondheidsverschillen tussen WHO-regio’s</w:t>
      </w:r>
    </w:p>
    <w:p>
      <w:r>
        <w:t>De wereld kan op verschillende manieren worden opgedeeld. De WHO gebruikt geografische regio’s zoals:</w:t>
      </w:r>
    </w:p>
    <w:p>
      <w:pPr>
        <w:pStyle w:val="ListBullet"/>
      </w:pPr>
      <w:r>
        <w:t>African Region (AFR)</w:t>
      </w:r>
    </w:p>
    <w:p>
      <w:pPr>
        <w:pStyle w:val="ListBullet"/>
      </w:pPr>
      <w:r>
        <w:t>Region of the Americas (AMR)</w:t>
      </w:r>
    </w:p>
    <w:p>
      <w:pPr>
        <w:pStyle w:val="ListBullet"/>
      </w:pPr>
      <w:r>
        <w:t>South-East Asia Region (SEAR)</w:t>
      </w:r>
    </w:p>
    <w:p>
      <w:pPr>
        <w:pStyle w:val="ListBullet"/>
      </w:pPr>
      <w:r>
        <w:t>European Region (EUR)</w:t>
      </w:r>
    </w:p>
    <w:p>
      <w:pPr>
        <w:pStyle w:val="ListBullet"/>
      </w:pPr>
      <w:r>
        <w:t>Eastern Mediterranean Region (EMR)</w:t>
      </w:r>
    </w:p>
    <w:p>
      <w:pPr>
        <w:pStyle w:val="ListBullet"/>
      </w:pPr>
      <w:r>
        <w:t>Western Pacific Region (WPR)</w:t>
      </w:r>
    </w:p>
    <w:p>
      <w:r>
        <w:t xml:space="preserve">Als je de DALY’s per 1000 inwoners per regio bekijkt, zie je grote verschillen. De totale ziektelast is het hoogst in Afrika. Belangrijk is vooral dat het verschil tussen regio’s voor een groot deel wordt bepaald door </w:t>
      </w:r>
      <w:r>
        <w:rPr>
          <w:b/>
        </w:rPr>
        <w:t>YLL</w:t>
      </w:r>
      <w:r>
        <w:t xml:space="preserve">: het verlies door voortijdige sterfte. De bijdrage van </w:t>
      </w:r>
      <w:r>
        <w:rPr>
          <w:b/>
        </w:rPr>
        <w:t>YLD</w:t>
      </w:r>
      <w:r>
        <w:t xml:space="preserve"> verschilt veel minder sterk.</w:t>
      </w:r>
    </w:p>
    <w:p>
      <w:r>
        <w:t xml:space="preserve">Dat betekent dat regionale verschillen niet alleen gaan over “meer of minder ziekte”, maar vooral over </w:t>
      </w:r>
      <w:r>
        <w:rPr>
          <w:b/>
        </w:rPr>
        <w:t>vroeg overlijden</w:t>
      </w:r>
      <w:r>
        <w:t>.</w:t>
      </w:r>
    </w:p>
    <w:p>
      <w:pPr>
        <w:pStyle w:val="Heading4"/>
      </w:pPr>
      <w:r>
        <w:t>Inkomensniveau en epidemiologische transitie</w:t>
      </w:r>
    </w:p>
    <w:p>
      <w:r>
        <w:t xml:space="preserve">Naast geografische indeling is ook de indeling in </w:t>
      </w:r>
      <w:r>
        <w:rPr>
          <w:b/>
        </w:rPr>
        <w:t>inkomensgroepen</w:t>
      </w:r>
      <w:r>
        <w:t xml:space="preserve"> belangrijk. De Wereldbank verdeelt landen in:</w:t>
      </w:r>
    </w:p>
    <w:p>
      <w:pPr>
        <w:pStyle w:val="ListBullet"/>
      </w:pPr>
      <w:r>
        <w:t>low income countries</w:t>
      </w:r>
    </w:p>
    <w:p>
      <w:pPr>
        <w:pStyle w:val="ListBullet"/>
      </w:pPr>
      <w:r>
        <w:t>lower middle income countries</w:t>
      </w:r>
    </w:p>
    <w:p>
      <w:pPr>
        <w:pStyle w:val="ListBullet"/>
      </w:pPr>
      <w:r>
        <w:t>upper middle income countries</w:t>
      </w:r>
    </w:p>
    <w:p>
      <w:pPr>
        <w:pStyle w:val="ListBullet"/>
      </w:pPr>
      <w:r>
        <w:t>high income countries</w:t>
      </w:r>
    </w:p>
    <w:p>
      <w:r>
        <w:t xml:space="preserve">Hier zie je een duidelijk patroon: </w:t>
      </w:r>
      <w:r>
        <w:rPr>
          <w:b/>
        </w:rPr>
        <w:t>hoe hoger het inkomensniveau, hoe lager het totale aantal DALY’s per 1000 inwoners</w:t>
      </w:r>
      <w:r>
        <w:t>.</w:t>
      </w:r>
    </w:p>
    <w:p>
      <w:r>
        <w:t xml:space="preserve">De belangrijkste verschuiving is dat bij lage inkomens </w:t>
      </w:r>
      <w:r>
        <w:rPr>
          <w:b/>
        </w:rPr>
        <w:t>groep 1-ziekten</w:t>
      </w:r>
      <w:r>
        <w:t xml:space="preserve"> domineren, vooral infectieziekten. Bij hogere inkomens verschuift het patroon naar </w:t>
      </w:r>
      <w:r>
        <w:rPr>
          <w:b/>
        </w:rPr>
        <w:t>groep 2</w:t>
      </w:r>
      <w:r>
        <w:t>, dus niet-overdraagbare aandoeningen.</w:t>
      </w:r>
    </w:p>
    <w:p>
      <w:r>
        <w:rPr>
          <w:b/>
        </w:rPr>
        <w:t>Tabel 5. Globaal patroon van ziektelast per inkomensgroep</w:t>
      </w:r>
    </w:p>
    <w:tbl>
      <w:tblPr>
        <w:tblStyle w:val="TableGrid"/>
        <w:tblW w:type="auto" w:w="0"/>
        <w:tblLook w:firstColumn="1" w:firstRow="1" w:lastColumn="0" w:lastRow="0" w:noHBand="0" w:noVBand="1" w:val="04A0"/>
      </w:tblPr>
      <w:tblGrid>
        <w:gridCol w:w="4320"/>
        <w:gridCol w:w="4320"/>
      </w:tblGrid>
      <w:tr>
        <w:tc>
          <w:tcPr>
            <w:tcW w:type="dxa" w:w="4320"/>
          </w:tcPr>
          <w:p>
            <w:r>
              <w:t>Inkomensgroep</w:t>
            </w:r>
          </w:p>
        </w:tc>
        <w:tc>
          <w:tcPr>
            <w:tcW w:type="dxa" w:w="4320"/>
          </w:tcPr>
          <w:p>
            <w:r>
              <w:t>Belangrijkste patroon</w:t>
            </w:r>
          </w:p>
        </w:tc>
      </w:tr>
      <w:tr>
        <w:tc>
          <w:tcPr>
            <w:tcW w:type="dxa" w:w="4320"/>
          </w:tcPr>
          <w:p>
            <w:r>
              <w:t>Low income</w:t>
            </w:r>
          </w:p>
        </w:tc>
        <w:tc>
          <w:tcPr>
            <w:tcW w:type="dxa" w:w="4320"/>
          </w:tcPr>
          <w:p>
            <w:r>
              <w:t>Veel groep 1-ziekten, vooral infectieziekten</w:t>
            </w:r>
          </w:p>
        </w:tc>
      </w:tr>
      <w:tr>
        <w:tc>
          <w:tcPr>
            <w:tcW w:type="dxa" w:w="4320"/>
          </w:tcPr>
          <w:p>
            <w:r>
              <w:t>Lower middle income</w:t>
            </w:r>
          </w:p>
        </w:tc>
        <w:tc>
          <w:tcPr>
            <w:tcW w:type="dxa" w:w="4320"/>
          </w:tcPr>
          <w:p>
            <w:r>
              <w:t>Nog steeds veel groep 1, maar groep 2 wordt belangrijker</w:t>
            </w:r>
          </w:p>
        </w:tc>
      </w:tr>
      <w:tr>
        <w:tc>
          <w:tcPr>
            <w:tcW w:type="dxa" w:w="4320"/>
          </w:tcPr>
          <w:p>
            <w:r>
              <w:t>Upper middle income</w:t>
            </w:r>
          </w:p>
        </w:tc>
        <w:tc>
          <w:tcPr>
            <w:tcW w:type="dxa" w:w="4320"/>
          </w:tcPr>
          <w:p>
            <w:r>
              <w:t>Groep 2 krijgt duidelijk meer gewicht</w:t>
            </w:r>
          </w:p>
        </w:tc>
      </w:tr>
      <w:tr>
        <w:tc>
          <w:tcPr>
            <w:tcW w:type="dxa" w:w="4320"/>
          </w:tcPr>
          <w:p>
            <w:r>
              <w:t>High income</w:t>
            </w:r>
          </w:p>
        </w:tc>
        <w:tc>
          <w:tcPr>
            <w:tcW w:type="dxa" w:w="4320"/>
          </w:tcPr>
          <w:p>
            <w:r>
              <w:t>Groep 2 domineert; groep 1 is veel minder belangrijk</w:t>
            </w:r>
          </w:p>
        </w:tc>
      </w:tr>
    </w:tbl>
    <w:p>
      <w:r>
        <w:t xml:space="preserve">Wat opvalt, is dat </w:t>
      </w:r>
      <w:r>
        <w:rPr>
          <w:b/>
        </w:rPr>
        <w:t>road injuries</w:t>
      </w:r>
      <w:r>
        <w:t xml:space="preserve"> in alle inkomenscategorieën hoog scoren. In DALY’s tellen niet alleen sterfgevallen mee, maar ook de verloren levensjaren. Daarom kunnen verkeersletsels relatief zwaar wegen, zeker als slachtoffers jong zijn.</w:t>
      </w:r>
    </w:p>
    <w:p>
      <w:r>
        <w:t>Ook andere patronen worden zichtbaar:</w:t>
      </w:r>
    </w:p>
    <w:p>
      <w:pPr>
        <w:pStyle w:val="ListBullet"/>
      </w:pPr>
      <w:r>
        <w:rPr>
          <w:b/>
        </w:rPr>
        <w:t>child and maternal malnutrition</w:t>
      </w:r>
      <w:r>
        <w:t xml:space="preserve"> neemt af bij stijgend inkomensniveau;</w:t>
      </w:r>
    </w:p>
    <w:p>
      <w:pPr>
        <w:pStyle w:val="ListBullet"/>
      </w:pPr>
      <w:r>
        <w:rPr>
          <w:b/>
        </w:rPr>
        <w:t>unsafe sex</w:t>
      </w:r>
      <w:r>
        <w:t xml:space="preserve"> neemt juist toe met stijgend inkomensniveau;</w:t>
      </w:r>
    </w:p>
    <w:p>
      <w:pPr>
        <w:pStyle w:val="ListBullet"/>
      </w:pPr>
      <w:r>
        <w:rPr>
          <w:b/>
        </w:rPr>
        <w:t>low back and neck pain</w:t>
      </w:r>
      <w:r>
        <w:t xml:space="preserve"> wordt een belangrijke oorzaak van DALY’s bij hogere inkomens;</w:t>
      </w:r>
    </w:p>
    <w:p>
      <w:pPr>
        <w:pStyle w:val="ListBullet"/>
      </w:pPr>
      <w:r>
        <w:rPr>
          <w:b/>
        </w:rPr>
        <w:t>congenital defects</w:t>
      </w:r>
      <w:r>
        <w:t xml:space="preserve"> worden minder belangrijk naarmate het inkomensniveau stijgt.</w:t>
      </w:r>
    </w:p>
    <w:p>
      <w:r>
        <w:t xml:space="preserve">Een belangrijk inzicht is dus dat de indeling naar </w:t>
      </w:r>
      <w:r>
        <w:rPr>
          <w:b/>
        </w:rPr>
        <w:t>ontwikkelings- of inkomensniveau</w:t>
      </w:r>
      <w:r>
        <w:t xml:space="preserve"> vaak meer verklaart dan alleen geografische ligging. Het geeft iets aan over de fase van de </w:t>
      </w:r>
      <w:r>
        <w:rPr>
          <w:b/>
        </w:rPr>
        <w:t>epidemiologische transitie</w:t>
      </w:r>
      <w:r>
        <w:t xml:space="preserve"> waarin een bevolking zich bevindt.</w:t>
      </w:r>
    </w:p>
    <w:p>
      <w:pPr>
        <w:pStyle w:val="Heading4"/>
      </w:pPr>
      <w:r>
        <w:t>Roken, sterfte en beleid</w:t>
      </w:r>
    </w:p>
    <w:p>
      <w:r>
        <w:t>Roken is wereldwijd een belangrijke risicofactor. Jaarlijks sterven er ongeveer 6 miljoen mensen door roken, en dat aantal zal naar verwachting verder stijgen. Roken is een risicofactor voor zowel DALY-verlies als sterfte.</w:t>
      </w:r>
    </w:p>
    <w:p>
      <w:r>
        <w:t>Opvallend is dat roken ook in lage-inkomenslanden belangrijk is, ondanks dat het daar soms lager op de ranglijst staat. Dat betekent niet dat antirookbeleid daar onbelangrijk is. Integendeel: juist doordat de algemene invloed van roken groter wordt wanneer andere doodsoorzaken veranderen, en omdat roken geld wegtrekt van voedsel, onderwijs en ontwikkeling, blijft preventie relevant.</w:t>
      </w:r>
    </w:p>
    <w:p>
      <w:r>
        <w:t>Voor de klinische praktijk en de volksgezondheid is dit relevant omdat artsen niet in een geïsoleerde setting werken. Gezondheid en gezondheidszorg verschillen sterk tussen regio’s en inkomensgroepen, en dat heeft gevolgen voor preventie, beleid en de manier waarop ziekte wordt begrepen.</w:t>
      </w:r>
    </w:p>
    <w:p>
      <w:pPr>
        <w:pStyle w:val="Heading4"/>
      </w:pPr>
      <w:r>
        <w:t>Samenvatting</w:t>
      </w:r>
    </w:p>
    <w:p>
      <w:r>
        <w:t xml:space="preserve">Volksgezondheid kan op verschillende manieren worden gemeten: met ziektecijfers, sterfte, functioneren en samengestelde maten. </w:t>
      </w:r>
      <w:r>
        <w:rPr>
          <w:b/>
        </w:rPr>
        <w:t>Levensverwachting</w:t>
      </w:r>
      <w:r>
        <w:t xml:space="preserve"> zegt iets over hoeveel jaren mensen gemiddeld nog kunnen leven, terwijl </w:t>
      </w:r>
      <w:r>
        <w:rPr>
          <w:b/>
        </w:rPr>
        <w:t>gezonde levensverwachting</w:t>
      </w:r>
      <w:r>
        <w:t xml:space="preserve"> laat zien hoeveel van die jaren ook echt in gezondheid worden doorgebracht. </w:t>
      </w:r>
      <w:r>
        <w:rPr>
          <w:b/>
        </w:rPr>
        <w:t>DALY’s</w:t>
      </w:r>
      <w:r>
        <w:t xml:space="preserve"> combineren voortijdige sterfte en verlies aan kwaliteit van leven in één maat: </w:t>
      </w:r>
      <w:r>
        <w:rPr>
          <w:b/>
        </w:rPr>
        <w:t>DALY = YLL + YLD</w:t>
      </w:r>
      <w:r>
        <w:t>.</w:t>
      </w:r>
    </w:p>
    <w:p>
      <w:r>
        <w:t>Op wereldschaal verschillen gezondheid en ziektelast sterk tussen regio’s en inkomensgroepen. Bij lage inkomens overheersen vooral infectieziekten en andere groep 1-aandoeningen, terwijl bij hogere inkomens vooral niet-overdraagbare aandoeningen op de voorgrond staan. Toch blijven ook letsels, roken, mentale aandoeningen en bepaalde chronische ziekten overal belangrijk. Daarom is inzicht in deze maten onmisbaar voor interpretatie van gezondheid, voor vergelijking tussen landen en voor goed volksgezondheidsbeleid.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