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10 – Aangeboren stollingsstoornissen</w:t>
      </w:r>
    </w:p>
    <w:p>
      <w:pPr>
        <w:pStyle w:val="Heading4"/>
      </w:pPr>
      <w:r>
        <w:t>Leerdoelen</w:t>
      </w:r>
    </w:p>
    <w:p>
      <w:r>
        <w:t>Na het doornemen van deze stof ben je in staat om:</w:t>
      </w:r>
    </w:p>
    <w:p>
      <w:pPr>
        <w:pStyle w:val="ListBullet"/>
      </w:pPr>
      <w:r>
        <w:t>een patiënt met een bloedingsneiging te herkennen;</w:t>
      </w:r>
    </w:p>
    <w:p>
      <w:pPr>
        <w:pStyle w:val="ListBullet"/>
      </w:pPr>
      <w:r>
        <w:t>hemofilie of de ziekte van Von Willebrand te diagnosticeren;</w:t>
      </w:r>
    </w:p>
    <w:p>
      <w:pPr>
        <w:pStyle w:val="ListBullet"/>
      </w:pPr>
      <w:r>
        <w:t>het principe van de behandeling van patiënten met hemofilie of de ziekte van Von Willebrand uit te leggen.</w:t>
      </w:r>
    </w:p>
    <w:p>
      <w:pPr>
        <w:pStyle w:val="Heading4"/>
      </w:pPr>
      <w:r>
        <w:t>Aangeboren stollingsstoornissen: het grote beeld</w:t>
      </w:r>
    </w:p>
    <w:p>
      <w:r>
        <w:t xml:space="preserve">Aangeboren stollingsstoornissen kunnen leiden tot een </w:t>
      </w:r>
      <w:r>
        <w:rPr>
          <w:b/>
        </w:rPr>
        <w:t>verhoogde bloedingsneiging</w:t>
      </w:r>
      <w:r>
        <w:t xml:space="preserve">. Ze kunnen op verschillende plekken in de stollingscascade ontstaan en zijn dan aanwezig in de </w:t>
      </w:r>
      <w:r>
        <w:rPr>
          <w:b/>
        </w:rPr>
        <w:t>primaire hemostase</w:t>
      </w:r>
      <w:r>
        <w:t xml:space="preserve"> of de </w:t>
      </w:r>
      <w:r>
        <w:rPr>
          <w:b/>
        </w:rPr>
        <w:t>secundaire hemostase</w:t>
      </w:r>
      <w:r>
        <w:t>. In deze stof gaat het vooral om twee bekende aandoeningen:</w:t>
      </w:r>
    </w:p>
    <w:p>
      <w:pPr>
        <w:pStyle w:val="ListBullet"/>
      </w:pPr>
      <w:r>
        <w:rPr>
          <w:b/>
        </w:rPr>
        <w:t>Ziekte van Von Willebrand</w:t>
      </w:r>
      <w:r>
        <w:t xml:space="preserve">: vooral een stoornis van de </w:t>
      </w:r>
      <w:r>
        <w:rPr>
          <w:b/>
        </w:rPr>
        <w:t>primaire hemostase</w:t>
      </w:r>
      <w:r>
        <w:t>.</w:t>
      </w:r>
    </w:p>
    <w:p>
      <w:pPr>
        <w:pStyle w:val="ListBullet"/>
      </w:pPr>
      <w:r>
        <w:rPr>
          <w:b/>
        </w:rPr>
        <w:t>Hemofilie</w:t>
      </w:r>
      <w:r>
        <w:t xml:space="preserve">: vooral een stoornis van de </w:t>
      </w:r>
      <w:r>
        <w:rPr>
          <w:b/>
        </w:rPr>
        <w:t>secundaire hemostase</w:t>
      </w:r>
      <w:r>
        <w:t>.</w:t>
      </w:r>
    </w:p>
    <w:p>
      <w:r>
        <w:t xml:space="preserve">Een belangrijk uitgangspunt is dat een bloedingsstoornis kan passen bij zowel een </w:t>
      </w:r>
      <w:r>
        <w:rPr>
          <w:b/>
        </w:rPr>
        <w:t>erfelijke</w:t>
      </w:r>
      <w:r>
        <w:t xml:space="preserve"> als een </w:t>
      </w:r>
      <w:r>
        <w:rPr>
          <w:b/>
        </w:rPr>
        <w:t>verworven</w:t>
      </w:r>
      <w:r>
        <w:t xml:space="preserve"> oorzaak. Bij de meest voorkomende aangeboren stollingsstoornissen staat de </w:t>
      </w:r>
      <w:r>
        <w:rPr>
          <w:b/>
        </w:rPr>
        <w:t>familie-anamnese</w:t>
      </w:r>
      <w:r>
        <w:t xml:space="preserve"> daarom centraal.</w:t>
      </w:r>
    </w:p>
    <w:p>
      <w:r>
        <w:rPr>
          <w:b/>
        </w:rPr>
        <w:t>Aandachtsvraag:</w:t>
      </w:r>
      <w:r>
        <w:t xml:space="preserve"> waarom is familie-anamnese zo belangrijk?  </w:t>
        <w:br/>
      </w:r>
      <w:r>
        <w:rPr>
          <w:b/>
        </w:rPr>
        <w:t>Mini-antwoord:</w:t>
      </w:r>
      <w:r>
        <w:t xml:space="preserve"> omdat hemofilie en de ziekte van Von Willebrand erfelijk kunnen zijn, en klachten vaak in de familie voorkomen.</w:t>
      </w:r>
    </w:p>
    <w:p>
      <w:pPr>
        <w:pStyle w:val="Heading4"/>
      </w:pPr>
      <w:r>
        <w:t>Klinische presentatie: hoe herken je een bloedingsneiging?</w:t>
      </w:r>
    </w:p>
    <w:p>
      <w:r>
        <w:t xml:space="preserve">Bij een patiënt met een bloedingsneiging kun je denken aan klachten van een </w:t>
      </w:r>
      <w:r>
        <w:rPr>
          <w:b/>
        </w:rPr>
        <w:t>hemorragische diathese</w:t>
      </w:r>
      <w:r>
        <w:t>. Dat betekent simpelweg: een verhoogde neiging tot bloeden. De klachten zijn vaak:</w:t>
      </w:r>
    </w:p>
    <w:p>
      <w:pPr>
        <w:pStyle w:val="ListBullet"/>
      </w:pPr>
      <w:r>
        <w:t>blauwe plekken, vooral spontaan en/of groot;</w:t>
      </w:r>
    </w:p>
    <w:p>
      <w:pPr>
        <w:pStyle w:val="ListBullet"/>
      </w:pPr>
      <w:r>
        <w:t>gewrichtsbloedingen (</w:t>
      </w:r>
      <w:r>
        <w:rPr>
          <w:b/>
        </w:rPr>
        <w:t>hemarthrosen</w:t>
      </w:r>
      <w:r>
        <w:t>) of spierbloedingen;</w:t>
      </w:r>
    </w:p>
    <w:p>
      <w:pPr>
        <w:pStyle w:val="ListBullet"/>
      </w:pPr>
      <w:r>
        <w:t>bloedingen na operaties of kiesextracties;</w:t>
      </w:r>
    </w:p>
    <w:p>
      <w:pPr>
        <w:pStyle w:val="ListBullet"/>
      </w:pPr>
      <w:r>
        <w:t>slijmvliesbloedingen, zoals menorrhagie, epistaxis en tandvleesbloedingen;</w:t>
      </w:r>
    </w:p>
    <w:p>
      <w:pPr>
        <w:pStyle w:val="ListBullet"/>
      </w:pPr>
      <w:r>
        <w:t>langer bloeden van wondjes, bijvoorbeeld langer dan 10–15 minuten.</w:t>
      </w:r>
    </w:p>
    <w:p>
      <w:pPr>
        <w:pStyle w:val="Heading5"/>
      </w:pPr>
      <w:r>
        <w:t>Tabel 1. Bloedingspatroon dat past bij hemofilie en Von Willebrandziekte</w:t>
      </w:r>
    </w:p>
    <w:tbl>
      <w:tblPr>
        <w:tblStyle w:val="TableGrid"/>
        <w:tblW w:type="auto" w:w="0"/>
        <w:tblLook w:firstColumn="1" w:firstRow="1" w:lastColumn="0" w:lastRow="0" w:noHBand="0" w:noVBand="1" w:val="04A0"/>
      </w:tblPr>
      <w:tblGrid>
        <w:gridCol w:w="4320"/>
        <w:gridCol w:w="4320"/>
      </w:tblGrid>
      <w:tr>
        <w:tc>
          <w:tcPr>
            <w:tcW w:type="dxa" w:w="4320"/>
          </w:tcPr>
          <w:p>
            <w:r>
              <w:t>Aandoening</w:t>
            </w:r>
          </w:p>
        </w:tc>
        <w:tc>
          <w:tcPr>
            <w:tcW w:type="dxa" w:w="4320"/>
          </w:tcPr>
          <w:p>
            <w:r>
              <w:t>Typische bloedingen</w:t>
            </w:r>
          </w:p>
        </w:tc>
      </w:tr>
      <w:tr>
        <w:tc>
          <w:tcPr>
            <w:tcW w:type="dxa" w:w="4320"/>
          </w:tcPr>
          <w:p>
            <w:r>
              <w:t>Hemofilie</w:t>
            </w:r>
          </w:p>
        </w:tc>
        <w:tc>
          <w:tcPr>
            <w:tcW w:type="dxa" w:w="4320"/>
          </w:tcPr>
          <w:p>
            <w:r>
              <w:t>Vooral **gewrichtsbloedingen**, **spierbloedingen**, bloedingen na operaties en soms hersenbloedingen</w:t>
            </w:r>
          </w:p>
        </w:tc>
      </w:tr>
      <w:tr>
        <w:tc>
          <w:tcPr>
            <w:tcW w:type="dxa" w:w="4320"/>
          </w:tcPr>
          <w:p>
            <w:r>
              <w:t>Von Willebrandziekte</w:t>
            </w:r>
          </w:p>
        </w:tc>
        <w:tc>
          <w:tcPr>
            <w:tcW w:type="dxa" w:w="4320"/>
          </w:tcPr>
          <w:p>
            <w:r>
              <w:t>Vooral **slijmvliesgerelateerde bloedingen**, zoals neusbloedingen, tandvleesbloedingen en overvloedige menstruatie</w:t>
            </w:r>
          </w:p>
        </w:tc>
      </w:tr>
    </w:tbl>
    <w:p>
      <w:r>
        <w:t xml:space="preserve">Bij </w:t>
      </w:r>
      <w:r>
        <w:rPr>
          <w:b/>
        </w:rPr>
        <w:t>hypermenorroe</w:t>
      </w:r>
      <w:r>
        <w:t xml:space="preserve"> of </w:t>
      </w:r>
      <w:r>
        <w:rPr>
          <w:b/>
        </w:rPr>
        <w:t>hevige menstruele bloedverlies</w:t>
      </w:r>
      <w:r>
        <w:t xml:space="preserve"> is het lastig om goed uit te vragen hoeveel bloedverlies er precies is. Daarom helpt het om aanvullend te vragen naar:</w:t>
      </w:r>
    </w:p>
    <w:p>
      <w:pPr>
        <w:pStyle w:val="ListBullet"/>
      </w:pPr>
      <w:r>
        <w:t>duur van de menstruatie;</w:t>
      </w:r>
    </w:p>
    <w:p>
      <w:pPr>
        <w:pStyle w:val="ListBullet"/>
      </w:pPr>
      <w:r>
        <w:t>anemie door ijzergebrek of transfusies;</w:t>
      </w:r>
    </w:p>
    <w:p>
      <w:pPr>
        <w:pStyle w:val="ListBullet"/>
      </w:pPr>
      <w:r>
        <w:t>reden voor orale anticonceptie;</w:t>
      </w:r>
    </w:p>
    <w:p>
      <w:pPr>
        <w:pStyle w:val="ListBullet"/>
      </w:pPr>
      <w:r>
        <w:t>school- of werkverzuim;</w:t>
      </w:r>
    </w:p>
    <w:p>
      <w:pPr>
        <w:pStyle w:val="ListBullet"/>
      </w:pPr>
      <w:r>
        <w:t>hoe vaak verschonen nodig is;</w:t>
      </w:r>
    </w:p>
    <w:p>
      <w:pPr>
        <w:pStyle w:val="ListBullet"/>
      </w:pPr>
      <w:r>
        <w:t>hoeveel maandverbanden of tampons per dag nodig zijn;</w:t>
      </w:r>
    </w:p>
    <w:p>
      <w:pPr>
        <w:pStyle w:val="ListBullet"/>
      </w:pPr>
      <w:r>
        <w:t>aanwezigheid van stolsels.</w:t>
      </w:r>
    </w:p>
    <w:p>
      <w:r>
        <w:t xml:space="preserve">Bij een menstruatie die </w:t>
      </w:r>
      <w:r>
        <w:rPr>
          <w:b/>
        </w:rPr>
        <w:t>langer dan 7 dagen</w:t>
      </w:r>
      <w:r>
        <w:t xml:space="preserve"> duurt, vaak doorlekken geeft of impact heeft op dagelijks functioneren, moet je dus denken aan overvloedig bloedverlies.</w:t>
      </w:r>
    </w:p>
    <w:p>
      <w:pPr>
        <w:pStyle w:val="Heading4"/>
      </w:pPr>
      <w:r>
        <w:t>Diagnostiek: eerst goed denken, dan goed testen</w:t>
      </w:r>
    </w:p>
    <w:p>
      <w:r>
        <w:t>Als een patiënt klachten heeft die passen bij een bloedingsneiging, wil je drie dingen weten:</w:t>
      </w:r>
    </w:p>
    <w:p>
      <w:pPr>
        <w:pStyle w:val="ListNumber"/>
      </w:pPr>
      <w:r>
        <w:rPr>
          <w:b/>
        </w:rPr>
        <w:t>Zijn de klachten al vanaf de geboorte aanwezig, of later ontstaan?</w:t>
      </w:r>
    </w:p>
    <w:p>
      <w:r>
        <w:t>Dat helpt onderscheid maken tussen een aangeboren en een verworven stoornis.</w:t>
      </w:r>
    </w:p>
    <w:p>
      <w:pPr>
        <w:pStyle w:val="ListNumber"/>
      </w:pPr>
      <w:r>
        <w:rPr>
          <w:b/>
        </w:rPr>
        <w:t>Gebruikt de patiënt medicatie?</w:t>
      </w:r>
    </w:p>
    <w:p>
      <w:pPr>
        <w:pStyle w:val="ListNumber"/>
      </w:pPr>
      <w:r>
        <w:rPr>
          <w:b/>
        </w:rPr>
        <w:t>Is er familie-anamnese voor bloedingsziekten?</w:t>
      </w:r>
    </w:p>
    <w:p>
      <w:r>
        <w:t xml:space="preserve">Bij vermoedens van een bloedingsstoornis moeten laboratoriumonderzoeken passend worden ingezet. Voor hemofilie denk je vooral aan </w:t>
      </w:r>
      <w:r>
        <w:rPr>
          <w:b/>
        </w:rPr>
        <w:t>aPTT</w:t>
      </w:r>
      <w:r>
        <w:t xml:space="preserve">, </w:t>
      </w:r>
      <w:r>
        <w:rPr>
          <w:b/>
        </w:rPr>
        <w:t>factor VIII</w:t>
      </w:r>
      <w:r>
        <w:t xml:space="preserve">, </w:t>
      </w:r>
      <w:r>
        <w:rPr>
          <w:b/>
        </w:rPr>
        <w:t>factor IX</w:t>
      </w:r>
      <w:r>
        <w:t xml:space="preserve"> en vaak ook </w:t>
      </w:r>
      <w:r>
        <w:rPr>
          <w:b/>
        </w:rPr>
        <w:t>VWF</w:t>
      </w:r>
      <w:r>
        <w:t>. De eerste lijnsdenkers zijn dus niet de algemene bloedings- of nierparameters, maar de stollingsfactoren zelf.</w:t>
      </w:r>
    </w:p>
    <w:p>
      <w:pPr>
        <w:pStyle w:val="Heading5"/>
      </w:pPr>
      <w:r>
        <w:t>Tabel 2. Basisdiagnostiek bij bloedingsneiging</w:t>
      </w:r>
    </w:p>
    <w:tbl>
      <w:tblPr>
        <w:tblStyle w:val="TableGrid"/>
        <w:tblW w:type="auto" w:w="0"/>
        <w:tblLook w:firstColumn="1" w:firstRow="1" w:lastColumn="0" w:lastRow="0" w:noHBand="0" w:noVBand="1" w:val="04A0"/>
      </w:tblPr>
      <w:tblGrid>
        <w:gridCol w:w="4320"/>
        <w:gridCol w:w="4320"/>
      </w:tblGrid>
      <w:tr>
        <w:tc>
          <w:tcPr>
            <w:tcW w:type="dxa" w:w="4320"/>
          </w:tcPr>
          <w:p>
            <w:r>
              <w:t>Vragen / testen</w:t>
            </w:r>
          </w:p>
        </w:tc>
        <w:tc>
          <w:tcPr>
            <w:tcW w:type="dxa" w:w="4320"/>
          </w:tcPr>
          <w:p>
            <w:r>
              <w:t>Wat wil je weten?</w:t>
            </w:r>
          </w:p>
        </w:tc>
      </w:tr>
      <w:tr>
        <w:tc>
          <w:tcPr>
            <w:tcW w:type="dxa" w:w="4320"/>
          </w:tcPr>
          <w:p>
            <w:r>
              <w:t>Anamnese</w:t>
            </w:r>
          </w:p>
        </w:tc>
        <w:tc>
          <w:tcPr>
            <w:tcW w:type="dxa" w:w="4320"/>
          </w:tcPr>
          <w:p>
            <w:r>
              <w:t>Aangeboren of verworven klachten, medicatie, familie-anamnese</w:t>
            </w:r>
          </w:p>
        </w:tc>
      </w:tr>
      <w:tr>
        <w:tc>
          <w:tcPr>
            <w:tcW w:type="dxa" w:w="4320"/>
          </w:tcPr>
          <w:p>
            <w:r>
              <w:t>aPTT</w:t>
            </w:r>
          </w:p>
        </w:tc>
        <w:tc>
          <w:tcPr>
            <w:tcW w:type="dxa" w:w="4320"/>
          </w:tcPr>
          <w:p>
            <w:r>
              <w:t>Verlengd bij laag FVIII of FIX</w:t>
            </w:r>
          </w:p>
        </w:tc>
      </w:tr>
      <w:tr>
        <w:tc>
          <w:tcPr>
            <w:tcW w:type="dxa" w:w="4320"/>
          </w:tcPr>
          <w:p>
            <w:r>
              <w:t>FVIII</w:t>
            </w:r>
          </w:p>
        </w:tc>
        <w:tc>
          <w:tcPr>
            <w:tcW w:type="dxa" w:w="4320"/>
          </w:tcPr>
          <w:p>
            <w:r>
              <w:t>Verlaagd bij hemofilie A; kan ook laag zijn bij Von Willebrandziekte</w:t>
            </w:r>
          </w:p>
        </w:tc>
      </w:tr>
      <w:tr>
        <w:tc>
          <w:tcPr>
            <w:tcW w:type="dxa" w:w="4320"/>
          </w:tcPr>
          <w:p>
            <w:r>
              <w:t>FIX</w:t>
            </w:r>
          </w:p>
        </w:tc>
        <w:tc>
          <w:tcPr>
            <w:tcW w:type="dxa" w:w="4320"/>
          </w:tcPr>
          <w:p>
            <w:r>
              <w:t>Verlaagd bij hemofilie B</w:t>
            </w:r>
          </w:p>
        </w:tc>
      </w:tr>
      <w:tr>
        <w:tc>
          <w:tcPr>
            <w:tcW w:type="dxa" w:w="4320"/>
          </w:tcPr>
          <w:p>
            <w:r>
              <w:t>VWF</w:t>
            </w:r>
          </w:p>
        </w:tc>
        <w:tc>
          <w:tcPr>
            <w:tcW w:type="dxa" w:w="4320"/>
          </w:tcPr>
          <w:p>
            <w:r>
              <w:t>Belangrijk omdat een laag VWF ook een laag FVIII kan geven</w:t>
            </w:r>
          </w:p>
        </w:tc>
      </w:tr>
      <w:tr>
        <w:tc>
          <w:tcPr>
            <w:tcW w:type="dxa" w:w="4320"/>
          </w:tcPr>
          <w:p>
            <w:r>
              <w:t>Trombocytenaantal</w:t>
            </w:r>
          </w:p>
        </w:tc>
        <w:tc>
          <w:tcPr>
            <w:tcW w:type="dxa" w:w="4320"/>
          </w:tcPr>
          <w:p>
            <w:r>
              <w:t>Normaal bij hemofilie</w:t>
            </w:r>
          </w:p>
        </w:tc>
      </w:tr>
      <w:tr>
        <w:tc>
          <w:tcPr>
            <w:tcW w:type="dxa" w:w="4320"/>
          </w:tcPr>
          <w:p>
            <w:r>
              <w:t>D-dimeer</w:t>
            </w:r>
          </w:p>
        </w:tc>
        <w:tc>
          <w:tcPr>
            <w:tcW w:type="dxa" w:w="4320"/>
          </w:tcPr>
          <w:p>
            <w:r>
              <w:t>Niet veranderd bij hemofilie</w:t>
            </w:r>
          </w:p>
        </w:tc>
      </w:tr>
      <w:tr>
        <w:tc>
          <w:tcPr>
            <w:tcW w:type="dxa" w:w="4320"/>
          </w:tcPr>
          <w:p>
            <w:r>
              <w:t>Creatinine</w:t>
            </w:r>
          </w:p>
        </w:tc>
        <w:tc>
          <w:tcPr>
            <w:tcW w:type="dxa" w:w="4320"/>
          </w:tcPr>
          <w:p>
            <w:r>
              <w:t>Niet gestoord bij hemofilie</w:t>
            </w:r>
          </w:p>
        </w:tc>
      </w:tr>
    </w:tbl>
    <w:p>
      <w:r>
        <w:rPr>
          <w:b/>
        </w:rPr>
        <w:t>Aandachtsvraag:</w:t>
      </w:r>
      <w:r>
        <w:t xml:space="preserve"> waarom meet je vaak ook VWF als je aan hemofilie denkt?  </w:t>
        <w:br/>
      </w:r>
      <w:r>
        <w:rPr>
          <w:b/>
        </w:rPr>
        <w:t>Mini-antwoord:</w:t>
      </w:r>
      <w:r>
        <w:t xml:space="preserve"> omdat VWF een drager-eiwit is voor FVIII; een laag FVIII kan dus ook passen bij Von Willebrandziekte.</w:t>
      </w:r>
    </w:p>
    <w:p>
      <w:pPr>
        <w:pStyle w:val="Heading4"/>
      </w:pPr>
      <w:r>
        <w:t>Hemofilie: wat is het?</w:t>
      </w:r>
    </w:p>
    <w:p>
      <w:r>
        <w:t xml:space="preserve">Hemofilie is een stoornis van de </w:t>
      </w:r>
      <w:r>
        <w:rPr>
          <w:b/>
        </w:rPr>
        <w:t>secundaire hemostase</w:t>
      </w:r>
      <w:r>
        <w:t xml:space="preserve"> en ontstaat door een tekort aan stollingsfactoren.</w:t>
      </w:r>
    </w:p>
    <w:p>
      <w:pPr>
        <w:pStyle w:val="ListBullet"/>
      </w:pPr>
      <w:r>
        <w:rPr>
          <w:b/>
        </w:rPr>
        <w:t>Hemofilie A</w:t>
      </w:r>
      <w:r>
        <w:t xml:space="preserve">: tekort aan </w:t>
      </w:r>
      <w:r>
        <w:rPr>
          <w:b/>
        </w:rPr>
        <w:t>stollingsfactor VIII</w:t>
      </w:r>
    </w:p>
    <w:p>
      <w:pPr>
        <w:pStyle w:val="ListBullet"/>
      </w:pPr>
      <w:r>
        <w:rPr>
          <w:b/>
        </w:rPr>
        <w:t>Hemofilie B</w:t>
      </w:r>
      <w:r>
        <w:t xml:space="preserve">: tekort aan </w:t>
      </w:r>
      <w:r>
        <w:rPr>
          <w:b/>
        </w:rPr>
        <w:t>stollingsfactor IX</w:t>
      </w:r>
    </w:p>
    <w:p>
      <w:r>
        <w:t xml:space="preserve">De afwijkende genen liggen op het </w:t>
      </w:r>
      <w:r>
        <w:rPr>
          <w:b/>
        </w:rPr>
        <w:t>X-chromosoom</w:t>
      </w:r>
      <w:r>
        <w:t xml:space="preserve">. Daardoor hebben vooral </w:t>
      </w:r>
      <w:r>
        <w:rPr>
          <w:b/>
        </w:rPr>
        <w:t>mannen (XY)</w:t>
      </w:r>
      <w:r>
        <w:t xml:space="preserve"> de aandoening, terwijl </w:t>
      </w:r>
      <w:r>
        <w:rPr>
          <w:b/>
        </w:rPr>
        <w:t>vrouwen (XX)</w:t>
      </w:r>
      <w:r>
        <w:t xml:space="preserve"> meestal </w:t>
      </w:r>
      <w:r>
        <w:rPr>
          <w:b/>
        </w:rPr>
        <w:t>draagster</w:t>
      </w:r>
      <w:r>
        <w:t xml:space="preserve"> zijn.</w:t>
      </w:r>
    </w:p>
    <w:p>
      <w:r>
        <w:t>Er zijn drie belangrijke genetische aandachtspunten:</w:t>
      </w:r>
    </w:p>
    <w:p>
      <w:pPr>
        <w:pStyle w:val="ListBullet"/>
      </w:pPr>
      <w:r>
        <w:t>mannen hebben de aandoening;</w:t>
      </w:r>
    </w:p>
    <w:p>
      <w:pPr>
        <w:pStyle w:val="ListBullet"/>
      </w:pPr>
      <w:r>
        <w:t>vrouwen zijn vaak draagster, maar kunnen ook klachten hebben;</w:t>
      </w:r>
    </w:p>
    <w:p>
      <w:pPr>
        <w:pStyle w:val="ListBullet"/>
      </w:pPr>
      <w:r>
        <w:t>er kunnen binnen een familie ook nieuwe mutaties optreden.</w:t>
      </w:r>
    </w:p>
    <w:p>
      <w:r>
        <w:t xml:space="preserve">Dat vrouwen klachten kunnen hebben, komt door </w:t>
      </w:r>
      <w:r>
        <w:rPr>
          <w:b/>
        </w:rPr>
        <w:t>lyonisatie / X-inactivatie</w:t>
      </w:r>
      <w:r>
        <w:t>. Daardoor is het niet vanzelfsprekend dat een draagster helemaal geen bloedingsproblemen heeft.</w:t>
      </w:r>
    </w:p>
    <w:p>
      <w:pPr>
        <w:pStyle w:val="Heading5"/>
      </w:pPr>
      <w:r>
        <w:t>Tabel 3. Erfelijkheid van hemofilie</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Kans / betekenis</w:t>
            </w:r>
          </w:p>
        </w:tc>
      </w:tr>
      <w:tr>
        <w:tc>
          <w:tcPr>
            <w:tcW w:type="dxa" w:w="4320"/>
          </w:tcPr>
          <w:p>
            <w:r>
              <w:t>Hemofiliepatiënt krijgt een zoon</w:t>
            </w:r>
          </w:p>
        </w:tc>
        <w:tc>
          <w:tcPr>
            <w:tcW w:type="dxa" w:w="4320"/>
          </w:tcPr>
          <w:p>
            <w:r>
              <w:t>Kans op hemofilie bij de zoon: **0%**</w:t>
            </w:r>
          </w:p>
        </w:tc>
      </w:tr>
      <w:tr>
        <w:tc>
          <w:tcPr>
            <w:tcW w:type="dxa" w:w="4320"/>
          </w:tcPr>
          <w:p>
            <w:r>
              <w:t>Hemofiliepatiënt krijgt een dochter</w:t>
            </w:r>
          </w:p>
        </w:tc>
        <w:tc>
          <w:tcPr>
            <w:tcW w:type="dxa" w:w="4320"/>
          </w:tcPr>
          <w:p>
            <w:r>
              <w:t>Kans dat zij draagster is: **100%**</w:t>
            </w:r>
          </w:p>
        </w:tc>
      </w:tr>
      <w:tr>
        <w:tc>
          <w:tcPr>
            <w:tcW w:type="dxa" w:w="4320"/>
          </w:tcPr>
          <w:p>
            <w:r>
              <w:t>Draagster van hemofilie krijgt een zoon</w:t>
            </w:r>
          </w:p>
        </w:tc>
        <w:tc>
          <w:tcPr>
            <w:tcW w:type="dxa" w:w="4320"/>
          </w:tcPr>
          <w:p>
            <w:r>
              <w:t>Kans op hemofilie bij de zoon: **25%**</w:t>
            </w:r>
          </w:p>
        </w:tc>
      </w:tr>
    </w:tbl>
    <w:p>
      <w:r>
        <w:t xml:space="preserve">Binnen één familie is de ernst van hemofilie bij mannen vrij gelijk, maar bij vrouwen kan het </w:t>
      </w:r>
      <w:r>
        <w:rPr>
          <w:b/>
        </w:rPr>
        <w:t>FVIII- of FIX-gehalte sterk variëren</w:t>
      </w:r>
      <w:r>
        <w:t xml:space="preserve"> en is dit niet goed te voorspellen. Daarom moet bij alle mogelijke draagsters het stollingsfactorgehalte worden bepaald.</w:t>
      </w:r>
    </w:p>
    <w:p>
      <w:r>
        <w:t xml:space="preserve">Ook belangrijk: een deel van de jongens met hemofilie heeft </w:t>
      </w:r>
      <w:r>
        <w:rPr>
          <w:b/>
        </w:rPr>
        <w:t>geen positieve familie-anamnese</w:t>
      </w:r>
      <w:r>
        <w:t xml:space="preserve">. Dat kan door een </w:t>
      </w:r>
      <w:r>
        <w:rPr>
          <w:b/>
        </w:rPr>
        <w:t>nieuwe mutatie</w:t>
      </w:r>
      <w:r>
        <w:t xml:space="preserve"> ontstaan zijn, ongeveer in 30% van de gevallen. Ook de moeder of oma kan dan draagster zijn geworden.</w:t>
      </w:r>
    </w:p>
    <w:p>
      <w:pPr>
        <w:pStyle w:val="Heading4"/>
      </w:pPr>
      <w:r>
        <w:t>Bloeding bij hemofilie</w:t>
      </w:r>
    </w:p>
    <w:p>
      <w:r>
        <w:t xml:space="preserve">De belangrijkste bloedingen bij hemofilie zijn </w:t>
      </w:r>
      <w:r>
        <w:rPr>
          <w:b/>
        </w:rPr>
        <w:t>gewrichtsbloedingen</w:t>
      </w:r>
      <w:r>
        <w:t>. Die zijn zo belangrijk omdat ze op lange termijn ernstige schade kunnen geven:</w:t>
      </w:r>
    </w:p>
    <w:p>
      <w:pPr>
        <w:pStyle w:val="ListBullet"/>
      </w:pPr>
      <w:r>
        <w:rPr>
          <w:b/>
        </w:rPr>
        <w:t>ernstige arthropathie</w:t>
      </w:r>
      <w:r>
        <w:t>;</w:t>
      </w:r>
    </w:p>
    <w:p>
      <w:pPr>
        <w:pStyle w:val="ListBullet"/>
      </w:pPr>
      <w:r>
        <w:rPr>
          <w:b/>
        </w:rPr>
        <w:t>ernstige gewrichtsdeformatie</w:t>
      </w:r>
      <w:r>
        <w:t>.</w:t>
      </w:r>
    </w:p>
    <w:p>
      <w:r>
        <w:t xml:space="preserve">De schade ontstaat niet alleen door de bloeding zelf, maar ook doordat bloedcomponenten schade geven aan het kraakbeen, vooral door het </w:t>
      </w:r>
      <w:r>
        <w:rPr>
          <w:b/>
        </w:rPr>
        <w:t>ijzer</w:t>
      </w:r>
      <w:r>
        <w:t xml:space="preserve"> in het bloed.</w:t>
      </w:r>
    </w:p>
    <w:p>
      <w:r>
        <w:t>Een gewrichtsbloeding herken je aan:</w:t>
      </w:r>
    </w:p>
    <w:p>
      <w:pPr>
        <w:pStyle w:val="ListBullet"/>
      </w:pPr>
      <w:r>
        <w:t>pijn;</w:t>
      </w:r>
    </w:p>
    <w:p>
      <w:pPr>
        <w:pStyle w:val="ListBullet"/>
      </w:pPr>
      <w:r>
        <w:t>moeite met buigen of niet kunnen buigen;</w:t>
      </w:r>
    </w:p>
    <w:p>
      <w:pPr>
        <w:pStyle w:val="ListBullet"/>
      </w:pPr>
      <w:r>
        <w:t>het gewricht staat vaak in een vaste, licht gebogen stand;</w:t>
      </w:r>
    </w:p>
    <w:p>
      <w:pPr>
        <w:pStyle w:val="ListBullet"/>
      </w:pPr>
      <w:r>
        <w:t>niet kunnen belasten door pijn;</w:t>
      </w:r>
    </w:p>
    <w:p>
      <w:pPr>
        <w:pStyle w:val="ListBullet"/>
      </w:pPr>
      <w:r>
        <w:t>soms lichte zwelling;</w:t>
      </w:r>
    </w:p>
    <w:p>
      <w:pPr>
        <w:pStyle w:val="ListBullet"/>
      </w:pPr>
      <w:r>
        <w:t>soms warmte of roodheid.</w:t>
      </w:r>
    </w:p>
    <w:p>
      <w:r>
        <w:rPr>
          <w:b/>
        </w:rPr>
        <w:t>Aandachtsvraag:</w:t>
      </w:r>
      <w:r>
        <w:t xml:space="preserve"> wat is het meest typische bloedingspatroon bij hemofilie?  </w:t>
        <w:br/>
      </w:r>
      <w:r>
        <w:rPr>
          <w:b/>
        </w:rPr>
        <w:t>Mini-antwoord:</w:t>
      </w:r>
      <w:r>
        <w:t xml:space="preserve"> gewrichtsbloedingen, gevolgd door spierbloedingen en soms ernstige bloedingen zoals hersenbloedingen of bloedingen na operaties.</w:t>
      </w:r>
    </w:p>
    <w:p>
      <w:pPr>
        <w:pStyle w:val="Heading5"/>
      </w:pPr>
      <w:r>
        <w:t>Tabel 4. Ernst van hemofilie</w:t>
      </w:r>
    </w:p>
    <w:tbl>
      <w:tblPr>
        <w:tblStyle w:val="TableGrid"/>
        <w:tblW w:type="auto" w:w="0"/>
        <w:tblLook w:firstColumn="1" w:firstRow="1" w:lastColumn="0" w:lastRow="0" w:noHBand="0" w:noVBand="1" w:val="04A0"/>
      </w:tblPr>
      <w:tblGrid>
        <w:gridCol w:w="2880"/>
        <w:gridCol w:w="2880"/>
        <w:gridCol w:w="2880"/>
      </w:tblGrid>
      <w:tr>
        <w:tc>
          <w:tcPr>
            <w:tcW w:type="dxa" w:w="2880"/>
          </w:tcPr>
          <w:p>
            <w:r>
              <w:t>Ernst</w:t>
            </w:r>
          </w:p>
        </w:tc>
        <w:tc>
          <w:tcPr>
            <w:tcW w:type="dxa" w:w="2880"/>
          </w:tcPr>
          <w:p>
            <w:r>
              <w:t>Stollingsfactor %</w:t>
            </w:r>
          </w:p>
        </w:tc>
        <w:tc>
          <w:tcPr>
            <w:tcW w:type="dxa" w:w="2880"/>
          </w:tcPr>
          <w:p>
            <w:r>
              <w:t>Bloedingen ontstaan</w:t>
            </w:r>
          </w:p>
        </w:tc>
      </w:tr>
      <w:tr>
        <w:tc>
          <w:tcPr>
            <w:tcW w:type="dxa" w:w="2880"/>
          </w:tcPr>
          <w:p>
            <w:r>
              <w:t>Ernstig</w:t>
            </w:r>
          </w:p>
        </w:tc>
        <w:tc>
          <w:tcPr>
            <w:tcW w:type="dxa" w:w="2880"/>
          </w:tcPr>
          <w:p>
            <w:r>
              <w:t>minder dan 1%</w:t>
            </w:r>
          </w:p>
        </w:tc>
        <w:tc>
          <w:tcPr>
            <w:tcW w:type="dxa" w:w="2880"/>
          </w:tcPr>
          <w:p>
            <w:r>
              <w:t>Spontaan</w:t>
            </w:r>
          </w:p>
        </w:tc>
      </w:tr>
      <w:tr>
        <w:tc>
          <w:tcPr>
            <w:tcW w:type="dxa" w:w="2880"/>
          </w:tcPr>
          <w:p>
            <w:r>
              <w:t>Matig</w:t>
            </w:r>
          </w:p>
        </w:tc>
        <w:tc>
          <w:tcPr>
            <w:tcW w:type="dxa" w:w="2880"/>
          </w:tcPr>
          <w:p>
            <w:r>
              <w:t>1–5%</w:t>
            </w:r>
          </w:p>
        </w:tc>
        <w:tc>
          <w:tcPr>
            <w:tcW w:type="dxa" w:w="2880"/>
          </w:tcPr>
          <w:p>
            <w:r>
              <w:t>Spontaan of na trauma</w:t>
            </w:r>
          </w:p>
        </w:tc>
      </w:tr>
      <w:tr>
        <w:tc>
          <w:tcPr>
            <w:tcW w:type="dxa" w:w="2880"/>
          </w:tcPr>
          <w:p>
            <w:r>
              <w:t>Mild</w:t>
            </w:r>
          </w:p>
        </w:tc>
        <w:tc>
          <w:tcPr>
            <w:tcW w:type="dxa" w:w="2880"/>
          </w:tcPr>
          <w:p>
            <w:r>
              <w:t>meer dan 5%</w:t>
            </w:r>
          </w:p>
        </w:tc>
        <w:tc>
          <w:tcPr>
            <w:tcW w:type="dxa" w:w="2880"/>
          </w:tcPr>
          <w:p>
            <w:r>
              <w:t>Alleen na trauma</w:t>
            </w:r>
          </w:p>
        </w:tc>
      </w:tr>
    </w:tbl>
    <w:p>
      <w:pPr>
        <w:pStyle w:val="Heading4"/>
      </w:pPr>
      <w:r>
        <w:t>Behandeling van hemofilie</w:t>
      </w:r>
    </w:p>
    <w:p>
      <w:r>
        <w:t>De behandeling van hemofilie heeft twee belangrijke doelen:</w:t>
      </w:r>
    </w:p>
    <w:p>
      <w:pPr>
        <w:pStyle w:val="ListNumber"/>
      </w:pPr>
      <w:r>
        <w:rPr>
          <w:b/>
        </w:rPr>
        <w:t>Bloedingen voorkomen</w:t>
      </w:r>
      <w:r>
        <w:t xml:space="preserve"> door </w:t>
      </w:r>
      <w:r>
        <w:rPr>
          <w:b/>
        </w:rPr>
        <w:t>profylaxe</w:t>
      </w:r>
      <w:r>
        <w:t>.</w:t>
      </w:r>
    </w:p>
    <w:p>
      <w:pPr>
        <w:pStyle w:val="ListNumber"/>
      </w:pPr>
      <w:r>
        <w:rPr>
          <w:b/>
        </w:rPr>
        <w:t>Bloedingen stoppen</w:t>
      </w:r>
      <w:r>
        <w:t>, waarbij snelheid heel belangrijk is.</w:t>
      </w:r>
    </w:p>
    <w:p>
      <w:r>
        <w:t xml:space="preserve">Vroeger was behandeling vooral immobilisatie, bijvoorbeeld met gips. Tegenwoordig draait het om het geven van </w:t>
      </w:r>
      <w:r>
        <w:rPr>
          <w:b/>
        </w:rPr>
        <w:t>stollingsfactoren</w:t>
      </w:r>
      <w:r>
        <w:t>. Deze kunnen intraveneus worden toegediend, in het ziekenhuis of thuis. Bij jonge kinderen leren ouders dit toe te dienen; vanaf ongeveer 10 jaar leren kinderen het vaak zelf.</w:t>
      </w:r>
    </w:p>
    <w:p>
      <w:pPr>
        <w:pStyle w:val="Heading5"/>
      </w:pPr>
      <w:r>
        <w:t>Medicamenteuze behandeling</w:t>
      </w:r>
    </w:p>
    <w:p>
      <w:r>
        <w:t>De belangrijkste middelen zijn:</w:t>
      </w:r>
    </w:p>
    <w:p>
      <w:pPr>
        <w:pStyle w:val="ListBullet"/>
      </w:pPr>
      <w:r>
        <w:rPr>
          <w:b/>
        </w:rPr>
        <w:t>FVIII-concentraat</w:t>
      </w:r>
      <w:r>
        <w:t xml:space="preserve"> bij hemofilie A;</w:t>
      </w:r>
    </w:p>
    <w:p>
      <w:pPr>
        <w:pStyle w:val="ListBullet"/>
      </w:pPr>
      <w:r>
        <w:rPr>
          <w:b/>
        </w:rPr>
        <w:t>FIX-concentraat</w:t>
      </w:r>
      <w:r>
        <w:t xml:space="preserve"> bij hemofilie B;</w:t>
      </w:r>
    </w:p>
    <w:p>
      <w:pPr>
        <w:pStyle w:val="ListBullet"/>
      </w:pPr>
      <w:r>
        <w:rPr>
          <w:b/>
        </w:rPr>
        <w:t>desmopressine (DDAVP)</w:t>
      </w:r>
      <w:r>
        <w:t>;</w:t>
      </w:r>
    </w:p>
    <w:p>
      <w:pPr>
        <w:pStyle w:val="ListBullet"/>
      </w:pPr>
      <w:r>
        <w:rPr>
          <w:b/>
        </w:rPr>
        <w:t>tranexaminezuur</w:t>
      </w:r>
      <w:r>
        <w:t>.</w:t>
      </w:r>
    </w:p>
    <w:p>
      <w:pPr>
        <w:pStyle w:val="Heading6"/>
      </w:pPr>
      <w:r>
        <w:t>Desmopressine (DDAVP)</w:t>
      </w:r>
    </w:p>
    <w:p>
      <w:r>
        <w:t xml:space="preserve">DDAVP zorgt voor stijging van het </w:t>
      </w:r>
      <w:r>
        <w:rPr>
          <w:b/>
        </w:rPr>
        <w:t>eigen FVIII en VWF</w:t>
      </w:r>
      <w:r>
        <w:t xml:space="preserve"> doordat het vrijkomt uit het endotheel. Het werkt dus op het lichaamseigen systeem.</w:t>
      </w:r>
    </w:p>
    <w:p>
      <w:r>
        <w:t>Belangrijke punten:</w:t>
      </w:r>
    </w:p>
    <w:p>
      <w:pPr>
        <w:pStyle w:val="ListBullet"/>
      </w:pPr>
      <w:r>
        <w:t xml:space="preserve">alleen bij </w:t>
      </w:r>
      <w:r>
        <w:rPr>
          <w:b/>
        </w:rPr>
        <w:t>milde hemofilie A</w:t>
      </w:r>
      <w:r>
        <w:t>;</w:t>
      </w:r>
    </w:p>
    <w:p>
      <w:pPr>
        <w:pStyle w:val="ListBullet"/>
      </w:pPr>
      <w:r>
        <w:t xml:space="preserve">vaak wordt eerst een </w:t>
      </w:r>
      <w:r>
        <w:rPr>
          <w:b/>
        </w:rPr>
        <w:t>testdosis</w:t>
      </w:r>
      <w:r>
        <w:t xml:space="preserve"> gegeven;</w:t>
      </w:r>
    </w:p>
    <w:p>
      <w:pPr>
        <w:pStyle w:val="ListBullet"/>
      </w:pPr>
      <w:r>
        <w:t xml:space="preserve">herhalen kan na </w:t>
      </w:r>
      <w:r>
        <w:rPr>
          <w:b/>
        </w:rPr>
        <w:t>18–24 uur</w:t>
      </w:r>
      <w:r>
        <w:t>;</w:t>
      </w:r>
    </w:p>
    <w:p>
      <w:pPr>
        <w:pStyle w:val="ListBullet"/>
      </w:pPr>
      <w:r>
        <w:t xml:space="preserve">het effect neemt af na </w:t>
      </w:r>
      <w:r>
        <w:rPr>
          <w:b/>
        </w:rPr>
        <w:t>2–3 giften</w:t>
      </w:r>
      <w:r>
        <w:t>.</w:t>
      </w:r>
    </w:p>
    <w:p>
      <w:r>
        <w:t>Bijwerkingen zijn onder andere:</w:t>
      </w:r>
    </w:p>
    <w:p>
      <w:pPr>
        <w:pStyle w:val="ListBullet"/>
      </w:pPr>
      <w:r>
        <w:t>vasodilatatie;</w:t>
      </w:r>
    </w:p>
    <w:p>
      <w:pPr>
        <w:pStyle w:val="ListBullet"/>
      </w:pPr>
      <w:r>
        <w:t>hartkloppingen;</w:t>
      </w:r>
    </w:p>
    <w:p>
      <w:pPr>
        <w:pStyle w:val="ListBullet"/>
      </w:pPr>
      <w:r>
        <w:t>blozen;</w:t>
      </w:r>
    </w:p>
    <w:p>
      <w:pPr>
        <w:pStyle w:val="ListBullet"/>
      </w:pPr>
      <w:r>
        <w:t>hyponatriëmie.</w:t>
      </w:r>
    </w:p>
    <w:p>
      <w:r>
        <w:t>Daarom gelden ook duidelijke instructies:</w:t>
      </w:r>
    </w:p>
    <w:p>
      <w:pPr>
        <w:pStyle w:val="ListBullet"/>
      </w:pPr>
      <w:r>
        <w:t>uitplassen;</w:t>
      </w:r>
    </w:p>
    <w:p>
      <w:pPr>
        <w:pStyle w:val="ListBullet"/>
      </w:pPr>
      <w:r>
        <w:t>niet drinken totdat de urineproductie weer op gang komt;</w:t>
      </w:r>
    </w:p>
    <w:p>
      <w:pPr>
        <w:pStyle w:val="ListBullet"/>
      </w:pPr>
      <w:r>
        <w:t xml:space="preserve">maximale vochtinname van </w:t>
      </w:r>
      <w:r>
        <w:rPr>
          <w:b/>
        </w:rPr>
        <w:t>1,5 liter per 24 uur</w:t>
      </w:r>
      <w:r>
        <w:t>.</w:t>
      </w:r>
    </w:p>
    <w:p>
      <w:r>
        <w:t>Contra-indicaties zijn:</w:t>
      </w:r>
    </w:p>
    <w:p>
      <w:pPr>
        <w:pStyle w:val="ListBullet"/>
      </w:pPr>
      <w:r>
        <w:t>hart- en vaatziekten;</w:t>
      </w:r>
    </w:p>
    <w:p>
      <w:pPr>
        <w:pStyle w:val="ListBullet"/>
      </w:pPr>
      <w:r>
        <w:t>zwangerschap;</w:t>
      </w:r>
    </w:p>
    <w:p>
      <w:pPr>
        <w:pStyle w:val="ListBullet"/>
      </w:pPr>
      <w:r>
        <w:t>jonge leeftijd, onder de 4 jaar.</w:t>
      </w:r>
    </w:p>
    <w:p>
      <w:pPr>
        <w:pStyle w:val="Heading6"/>
      </w:pPr>
      <w:r>
        <w:t>Factorconcentraat</w:t>
      </w:r>
    </w:p>
    <w:p>
      <w:r>
        <w:t>Factorconcentraat geeft direct een stijging van de ontbrekende factor:</w:t>
      </w:r>
    </w:p>
    <w:p>
      <w:pPr>
        <w:pStyle w:val="ListBullet"/>
      </w:pPr>
      <w:r>
        <w:t>FVIII-concentraat bij hemofilie A;</w:t>
      </w:r>
    </w:p>
    <w:p>
      <w:pPr>
        <w:pStyle w:val="ListBullet"/>
      </w:pPr>
      <w:r>
        <w:t>FIX-concentraat bij hemofilie B.</w:t>
      </w:r>
    </w:p>
    <w:p>
      <w:pPr>
        <w:pStyle w:val="Heading6"/>
      </w:pPr>
      <w:r>
        <w:t>Tranexaminezuur</w:t>
      </w:r>
    </w:p>
    <w:p>
      <w:r>
        <w:t xml:space="preserve">Tranexaminezuur </w:t>
      </w:r>
      <w:r>
        <w:rPr>
          <w:b/>
        </w:rPr>
        <w:t>remt fibrinolyse</w:t>
      </w:r>
      <w:r>
        <w:t xml:space="preserve">, dus de afbraak van stolsels. Het wordt vooral gebruikt bij </w:t>
      </w:r>
      <w:r>
        <w:rPr>
          <w:b/>
        </w:rPr>
        <w:t>slijmvliesgerelateerde bloedingen</w:t>
      </w:r>
      <w:r>
        <w:t xml:space="preserve"> of rond ingrepen.</w:t>
      </w:r>
    </w:p>
    <w:p>
      <w:pPr>
        <w:pStyle w:val="Heading5"/>
      </w:pPr>
      <w:r>
        <w:t>Tabel 5. Behandeling van hemofilie in het kort</w:t>
      </w:r>
    </w:p>
    <w:tbl>
      <w:tblPr>
        <w:tblStyle w:val="TableGrid"/>
        <w:tblW w:type="auto" w:w="0"/>
        <w:tblLook w:firstColumn="1" w:firstRow="1" w:lastColumn="0" w:lastRow="0" w:noHBand="0" w:noVBand="1" w:val="04A0"/>
      </w:tblPr>
      <w:tblGrid>
        <w:gridCol w:w="2880"/>
        <w:gridCol w:w="2880"/>
        <w:gridCol w:w="2880"/>
      </w:tblGrid>
      <w:tr>
        <w:tc>
          <w:tcPr>
            <w:tcW w:type="dxa" w:w="2880"/>
          </w:tcPr>
          <w:p>
            <w:r>
              <w:t>Middel</w:t>
            </w:r>
          </w:p>
        </w:tc>
        <w:tc>
          <w:tcPr>
            <w:tcW w:type="dxa" w:w="2880"/>
          </w:tcPr>
          <w:p>
            <w:r>
              <w:t>Werking</w:t>
            </w:r>
          </w:p>
        </w:tc>
        <w:tc>
          <w:tcPr>
            <w:tcW w:type="dxa" w:w="2880"/>
          </w:tcPr>
          <w:p>
            <w:r>
              <w:t>Indicatie</w:t>
            </w:r>
          </w:p>
        </w:tc>
      </w:tr>
      <w:tr>
        <w:tc>
          <w:tcPr>
            <w:tcW w:type="dxa" w:w="2880"/>
          </w:tcPr>
          <w:p>
            <w:r>
              <w:t>FVIII-concentraat</w:t>
            </w:r>
          </w:p>
        </w:tc>
        <w:tc>
          <w:tcPr>
            <w:tcW w:type="dxa" w:w="2880"/>
          </w:tcPr>
          <w:p>
            <w:r>
              <w:t>Stijging van FVIII</w:t>
            </w:r>
          </w:p>
        </w:tc>
        <w:tc>
          <w:tcPr>
            <w:tcW w:type="dxa" w:w="2880"/>
          </w:tcPr>
          <w:p>
            <w:r>
              <w:t>Hemofilie A</w:t>
            </w:r>
          </w:p>
        </w:tc>
      </w:tr>
      <w:tr>
        <w:tc>
          <w:tcPr>
            <w:tcW w:type="dxa" w:w="2880"/>
          </w:tcPr>
          <w:p>
            <w:r>
              <w:t>FIX-concentraat</w:t>
            </w:r>
          </w:p>
        </w:tc>
        <w:tc>
          <w:tcPr>
            <w:tcW w:type="dxa" w:w="2880"/>
          </w:tcPr>
          <w:p>
            <w:r>
              <w:t>Stijging van FIX</w:t>
            </w:r>
          </w:p>
        </w:tc>
        <w:tc>
          <w:tcPr>
            <w:tcW w:type="dxa" w:w="2880"/>
          </w:tcPr>
          <w:p>
            <w:r>
              <w:t>Hemofilie B</w:t>
            </w:r>
          </w:p>
        </w:tc>
      </w:tr>
      <w:tr>
        <w:tc>
          <w:tcPr>
            <w:tcW w:type="dxa" w:w="2880"/>
          </w:tcPr>
          <w:p>
            <w:r>
              <w:t>Desmopressine</w:t>
            </w:r>
          </w:p>
        </w:tc>
        <w:tc>
          <w:tcPr>
            <w:tcW w:type="dxa" w:w="2880"/>
          </w:tcPr>
          <w:p>
            <w:r>
              <w:t>Vrijmaken van FVIII en VWF uit endotheel</w:t>
            </w:r>
          </w:p>
        </w:tc>
        <w:tc>
          <w:tcPr>
            <w:tcW w:type="dxa" w:w="2880"/>
          </w:tcPr>
          <w:p>
            <w:r>
              <w:t>Milde hemofilie A</w:t>
            </w:r>
          </w:p>
        </w:tc>
      </w:tr>
      <w:tr>
        <w:tc>
          <w:tcPr>
            <w:tcW w:type="dxa" w:w="2880"/>
          </w:tcPr>
          <w:p>
            <w:r>
              <w:t>Tranexaminezuur</w:t>
            </w:r>
          </w:p>
        </w:tc>
        <w:tc>
          <w:tcPr>
            <w:tcW w:type="dxa" w:w="2880"/>
          </w:tcPr>
          <w:p>
            <w:r>
              <w:t>Remt fibrinolyse</w:t>
            </w:r>
          </w:p>
        </w:tc>
        <w:tc>
          <w:tcPr>
            <w:tcW w:type="dxa" w:w="2880"/>
          </w:tcPr>
          <w:p>
            <w:r>
              <w:t>Vooral slijmvliesbloedingen of ingrepen</w:t>
            </w:r>
          </w:p>
        </w:tc>
      </w:tr>
    </w:tbl>
    <w:p>
      <w:r>
        <w:t xml:space="preserve">Een belangrijke complicatie van behandeling van hemofilie is dat patiënten een </w:t>
      </w:r>
      <w:r>
        <w:rPr>
          <w:b/>
        </w:rPr>
        <w:t>remmer</w:t>
      </w:r>
      <w:r>
        <w:t xml:space="preserve"> tegen vooral </w:t>
      </w:r>
      <w:r>
        <w:rPr>
          <w:b/>
        </w:rPr>
        <w:t>FVIII</w:t>
      </w:r>
      <w:r>
        <w:t xml:space="preserve"> kunnen ontwikkelen.</w:t>
      </w:r>
    </w:p>
    <w:p>
      <w:pPr>
        <w:pStyle w:val="Heading4"/>
      </w:pPr>
      <w:r>
        <w:t>Ziekte van Von Willebrand</w:t>
      </w:r>
    </w:p>
    <w:p>
      <w:r>
        <w:t xml:space="preserve">De ziekte van Von Willebrand is een </w:t>
      </w:r>
      <w:r>
        <w:rPr>
          <w:b/>
        </w:rPr>
        <w:t>erfelijke stollingsstoornis</w:t>
      </w:r>
      <w:r>
        <w:t xml:space="preserve"> waarbij een tekort of afwijking bestaat van </w:t>
      </w:r>
      <w:r>
        <w:rPr>
          <w:b/>
        </w:rPr>
        <w:t>Von Willebrandfactor (VWF)</w:t>
      </w:r>
      <w:r>
        <w:t xml:space="preserve">. Het is de </w:t>
      </w:r>
      <w:r>
        <w:rPr>
          <w:b/>
        </w:rPr>
        <w:t>meest voorkomende erfelijke stollingsstoornis</w:t>
      </w:r>
      <w:r>
        <w:t xml:space="preserve"> en komt mogelijk bij ongeveer </w:t>
      </w:r>
      <w:r>
        <w:rPr>
          <w:b/>
        </w:rPr>
        <w:t>1% van de Nederlandse bevolking</w:t>
      </w:r>
      <w:r>
        <w:t xml:space="preserve"> voor.</w:t>
      </w:r>
    </w:p>
    <w:p>
      <w:r>
        <w:t xml:space="preserve">VWF werd beschreven door </w:t>
      </w:r>
      <w:r>
        <w:rPr>
          <w:b/>
        </w:rPr>
        <w:t>Erik Von Willebrand</w:t>
      </w:r>
      <w:r>
        <w:t xml:space="preserve">. De aandoening kan worden overgeërfd via een </w:t>
      </w:r>
      <w:r>
        <w:rPr>
          <w:b/>
        </w:rPr>
        <w:t>autosomaal dominant</w:t>
      </w:r>
      <w:r>
        <w:t xml:space="preserve"> of </w:t>
      </w:r>
      <w:r>
        <w:rPr>
          <w:b/>
        </w:rPr>
        <w:t>autosomaal recessief</w:t>
      </w:r>
      <w:r>
        <w:t xml:space="preserve"> patroon, afhankelijk van het type.</w:t>
      </w:r>
    </w:p>
    <w:p>
      <w:r>
        <w:t xml:space="preserve">VWF is een belangrijk eiwit in de </w:t>
      </w:r>
      <w:r>
        <w:rPr>
          <w:b/>
        </w:rPr>
        <w:t>primaire hemostase</w:t>
      </w:r>
      <w:r>
        <w:t xml:space="preserve">. Het ligt opgeslagen in het endotheel en komt vrij bij beschadiging van het vat. Het zorgt ervoor dat bloedplaatjes kunnen hechten aan de beschadigde vaatwand en aan elkaar, zodat er een </w:t>
      </w:r>
      <w:r>
        <w:rPr>
          <w:b/>
        </w:rPr>
        <w:t>plaatjesplug</w:t>
      </w:r>
      <w:r>
        <w:t xml:space="preserve"> ontstaat. De primaire hemostase is dus direct betrokken.</w:t>
      </w:r>
    </w:p>
    <w:p>
      <w:r>
        <w:rPr>
          <w:b/>
        </w:rPr>
        <w:t>Aandachtsvraag:</w:t>
      </w:r>
      <w:r>
        <w:t xml:space="preserve"> waarom is Von Willebrandziekte een ziekte van de primaire hemostase?  </w:t>
        <w:br/>
      </w:r>
      <w:r>
        <w:rPr>
          <w:b/>
        </w:rPr>
        <w:t>Mini-antwoord:</w:t>
      </w:r>
      <w:r>
        <w:t xml:space="preserve"> omdat VWF nodig is voor het aan elkaar en aan de vaatwand plakken van bloedplaatjes, en dus voor de plaatjesplug.</w:t>
      </w:r>
    </w:p>
    <w:p>
      <w:pPr>
        <w:pStyle w:val="Heading4"/>
      </w:pPr>
      <w:r>
        <w:t>Verschillende typen Von Willebrandziekte</w:t>
      </w:r>
    </w:p>
    <w:p>
      <w:r>
        <w:t>Er zijn meerdere typen Von Willebrandziekte.</w:t>
      </w:r>
    </w:p>
    <w:p>
      <w:pPr>
        <w:pStyle w:val="Heading5"/>
      </w:pPr>
      <w:r>
        <w:t>Tabel 6. Typen Von Willebrandziekte</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Kenmerk</w:t>
            </w:r>
          </w:p>
        </w:tc>
        <w:tc>
          <w:tcPr>
            <w:tcW w:type="dxa" w:w="2880"/>
          </w:tcPr>
          <w:p>
            <w:r>
              <w:t>Overerving / ernst</w:t>
            </w:r>
          </w:p>
        </w:tc>
      </w:tr>
      <w:tr>
        <w:tc>
          <w:tcPr>
            <w:tcW w:type="dxa" w:w="2880"/>
          </w:tcPr>
          <w:p>
            <w:r>
              <w:t>Type 1</w:t>
            </w:r>
          </w:p>
        </w:tc>
        <w:tc>
          <w:tcPr>
            <w:tcW w:type="dxa" w:w="2880"/>
          </w:tcPr>
          <w:p>
            <w:r>
              <w:t>Relatief VWF-tekort door verminderde aanmaak of verhoogde klaring</w:t>
            </w:r>
          </w:p>
        </w:tc>
        <w:tc>
          <w:tcPr>
            <w:tcW w:type="dxa" w:w="2880"/>
          </w:tcPr>
          <w:p>
            <w:r>
              <w:t>70–80% VWF, lichte toename bloedingsrisico, autosomaal dominant</w:t>
            </w:r>
          </w:p>
        </w:tc>
      </w:tr>
      <w:tr>
        <w:tc>
          <w:tcPr>
            <w:tcW w:type="dxa" w:w="2880"/>
          </w:tcPr>
          <w:p>
            <w:r>
              <w:t>Type 2</w:t>
            </w:r>
          </w:p>
        </w:tc>
        <w:tc>
          <w:tcPr>
            <w:tcW w:type="dxa" w:w="2880"/>
          </w:tcPr>
          <w:p>
            <w:r>
              <w:t>Kwalitatieve afwijking van VWF</w:t>
            </w:r>
          </w:p>
        </w:tc>
        <w:tc>
          <w:tcPr>
            <w:tcW w:type="dxa" w:w="2880"/>
          </w:tcPr>
          <w:p>
            <w:r>
              <w:t>Ongeveer 20% VWF, afwijkende functie, ernstiger bloedingen dan type 1, meestal autosomaal dominant</w:t>
            </w:r>
          </w:p>
        </w:tc>
      </w:tr>
      <w:tr>
        <w:tc>
          <w:tcPr>
            <w:tcW w:type="dxa" w:w="2880"/>
          </w:tcPr>
          <w:p>
            <w:r>
              <w:t>Type 3</w:t>
            </w:r>
          </w:p>
        </w:tc>
        <w:tc>
          <w:tcPr>
            <w:tcW w:type="dxa" w:w="2880"/>
          </w:tcPr>
          <w:p>
            <w:r>
              <w:t>Absoluut VWF-tekort</w:t>
            </w:r>
          </w:p>
        </w:tc>
        <w:tc>
          <w:tcPr>
            <w:tcW w:type="dxa" w:w="2880"/>
          </w:tcPr>
          <w:p>
            <w:r>
              <w:t>&lt;1% VWF, afwezig, sterk verhoogd bloedingsrisico, autosomaal recessief</w:t>
            </w:r>
          </w:p>
        </w:tc>
      </w:tr>
    </w:tbl>
    <w:p>
      <w:r>
        <w:t>Binnen type 2 zijn nog subtypen:</w:t>
      </w:r>
    </w:p>
    <w:p>
      <w:pPr>
        <w:pStyle w:val="ListBullet"/>
      </w:pPr>
      <w:r>
        <w:rPr>
          <w:b/>
        </w:rPr>
        <w:t>2A</w:t>
      </w:r>
      <w:r>
        <w:t>: kortere multimeren door afname van hoogmoleculairgewicht multimeren;</w:t>
      </w:r>
    </w:p>
    <w:p>
      <w:pPr>
        <w:pStyle w:val="ListBullet"/>
      </w:pPr>
      <w:r>
        <w:rPr>
          <w:b/>
        </w:rPr>
        <w:t>2B</w:t>
      </w:r>
      <w:r>
        <w:t>: gain-of-function-mutatie, meer gevoeligheid voor GPIb-binding aan trombocyten, met trombocytopenie;</w:t>
      </w:r>
    </w:p>
    <w:p>
      <w:pPr>
        <w:pStyle w:val="ListBullet"/>
      </w:pPr>
      <w:r>
        <w:rPr>
          <w:b/>
        </w:rPr>
        <w:t>2M</w:t>
      </w:r>
      <w:r>
        <w:t>: verminderde binding aan plaatjes of collageen;</w:t>
      </w:r>
    </w:p>
    <w:p>
      <w:pPr>
        <w:pStyle w:val="ListBullet"/>
      </w:pPr>
      <w:r>
        <w:rPr>
          <w:b/>
        </w:rPr>
        <w:t>2N</w:t>
      </w:r>
      <w:r>
        <w:t>: verminderde binding aan FVIII.</w:t>
      </w:r>
    </w:p>
    <w:p>
      <w:r>
        <w:t>Bij Von Willebrandziekte verschillen de bloedingssymptomen per type. Vooral passen klachten als:</w:t>
      </w:r>
    </w:p>
    <w:p>
      <w:pPr>
        <w:pStyle w:val="ListBullet"/>
      </w:pPr>
      <w:r>
        <w:t>neusbloeding;</w:t>
      </w:r>
    </w:p>
    <w:p>
      <w:pPr>
        <w:pStyle w:val="ListBullet"/>
      </w:pPr>
      <w:r>
        <w:t>huidbloeding;</w:t>
      </w:r>
    </w:p>
    <w:p>
      <w:pPr>
        <w:pStyle w:val="ListBullet"/>
      </w:pPr>
      <w:r>
        <w:t>bloedingen uit wondjes;</w:t>
      </w:r>
    </w:p>
    <w:p>
      <w:pPr>
        <w:pStyle w:val="ListBullet"/>
      </w:pPr>
      <w:r>
        <w:t>bloeding in de mondholte;</w:t>
      </w:r>
    </w:p>
    <w:p>
      <w:pPr>
        <w:pStyle w:val="ListBullet"/>
      </w:pPr>
      <w:r>
        <w:t>maag-darmbloedingen;</w:t>
      </w:r>
    </w:p>
    <w:p>
      <w:pPr>
        <w:pStyle w:val="ListBullet"/>
      </w:pPr>
      <w:r>
        <w:t>bloeding na tandextractie;</w:t>
      </w:r>
    </w:p>
    <w:p>
      <w:pPr>
        <w:pStyle w:val="ListBullet"/>
      </w:pPr>
      <w:r>
        <w:t>bloeding na operatie;</w:t>
      </w:r>
    </w:p>
    <w:p>
      <w:pPr>
        <w:pStyle w:val="ListBullet"/>
      </w:pPr>
      <w:r>
        <w:t>overvloedige menstruatie;</w:t>
      </w:r>
    </w:p>
    <w:p>
      <w:pPr>
        <w:pStyle w:val="ListBullet"/>
      </w:pPr>
      <w:r>
        <w:t>bloeding na bevalling;</w:t>
      </w:r>
    </w:p>
    <w:p>
      <w:pPr>
        <w:pStyle w:val="ListBullet"/>
      </w:pPr>
      <w:r>
        <w:t>spierbloeding;</w:t>
      </w:r>
    </w:p>
    <w:p>
      <w:pPr>
        <w:pStyle w:val="ListBullet"/>
      </w:pPr>
      <w:r>
        <w:t>gewrichtsbloeding;</w:t>
      </w:r>
    </w:p>
    <w:p>
      <w:pPr>
        <w:pStyle w:val="ListBullet"/>
      </w:pPr>
      <w:r>
        <w:t>soms centrale zenuwstelselbloeding.</w:t>
      </w:r>
    </w:p>
    <w:p>
      <w:r>
        <w:t xml:space="preserve">Bij </w:t>
      </w:r>
      <w:r>
        <w:rPr>
          <w:b/>
        </w:rPr>
        <w:t>hemofilie</w:t>
      </w:r>
      <w:r>
        <w:t xml:space="preserve"> zie je juist vaker </w:t>
      </w:r>
      <w:r>
        <w:rPr>
          <w:b/>
        </w:rPr>
        <w:t>gewrichts- en spierbloedingen</w:t>
      </w:r>
      <w:r>
        <w:t xml:space="preserve">, terwijl </w:t>
      </w:r>
      <w:r>
        <w:rPr>
          <w:b/>
        </w:rPr>
        <w:t>Von Willebrandziekte</w:t>
      </w:r>
      <w:r>
        <w:t xml:space="preserve"> meer </w:t>
      </w:r>
      <w:r>
        <w:rPr>
          <w:b/>
        </w:rPr>
        <w:t>slijmvliesbloedingen</w:t>
      </w:r>
      <w:r>
        <w:t xml:space="preserve"> geeft.</w:t>
      </w:r>
    </w:p>
    <w:p>
      <w:pPr>
        <w:pStyle w:val="Heading4"/>
      </w:pPr>
      <w:r>
        <w:t>Diagnostiek bij Von Willebrandziekte</w:t>
      </w:r>
    </w:p>
    <w:p>
      <w:r>
        <w:t>Hoewel Von Willebrandziekte een ziekte van de primaire hemostase is, moet je met laboratoriumdiagnostiek ook stoornissen van de secundaire hemostase uitsluiten.</w:t>
      </w:r>
    </w:p>
    <w:p>
      <w:r>
        <w:t>Daarom horen bij de eerste diagnostiek:</w:t>
      </w:r>
    </w:p>
    <w:p>
      <w:pPr>
        <w:pStyle w:val="ListBullet"/>
      </w:pPr>
      <w:r>
        <w:rPr>
          <w:b/>
        </w:rPr>
        <w:t>occlusietijd (PFA)</w:t>
      </w:r>
      <w:r>
        <w:t>;</w:t>
      </w:r>
    </w:p>
    <w:p>
      <w:pPr>
        <w:pStyle w:val="ListBullet"/>
      </w:pPr>
      <w:r>
        <w:rPr>
          <w:b/>
        </w:rPr>
        <w:t>trombocytenaantal</w:t>
      </w:r>
      <w:r>
        <w:t>;</w:t>
      </w:r>
    </w:p>
    <w:p>
      <w:pPr>
        <w:pStyle w:val="ListBullet"/>
      </w:pPr>
      <w:r>
        <w:rPr>
          <w:b/>
        </w:rPr>
        <w:t>APTT</w:t>
      </w:r>
      <w:r>
        <w:t>;</w:t>
      </w:r>
    </w:p>
    <w:p>
      <w:pPr>
        <w:pStyle w:val="ListBullet"/>
      </w:pPr>
      <w:r>
        <w:rPr>
          <w:b/>
        </w:rPr>
        <w:t>PT</w:t>
      </w:r>
      <w:r>
        <w:t>.</w:t>
      </w:r>
    </w:p>
    <w:p>
      <w:r>
        <w:t>Vervolgens doe je aanvullend onderzoek zoals:</w:t>
      </w:r>
    </w:p>
    <w:p>
      <w:pPr>
        <w:pStyle w:val="ListBullet"/>
      </w:pPr>
      <w:r>
        <w:rPr>
          <w:b/>
        </w:rPr>
        <w:t>VWF:Ag</w:t>
      </w:r>
      <w:r>
        <w:t xml:space="preserve"> – kwantitatieve test;</w:t>
      </w:r>
    </w:p>
    <w:p>
      <w:pPr>
        <w:pStyle w:val="ListBullet"/>
      </w:pPr>
      <w:r>
        <w:rPr>
          <w:b/>
        </w:rPr>
        <w:t>VWF:CB</w:t>
      </w:r>
      <w:r>
        <w:t xml:space="preserve"> – functionele test;</w:t>
      </w:r>
    </w:p>
    <w:p>
      <w:pPr>
        <w:pStyle w:val="ListBullet"/>
      </w:pPr>
      <w:r>
        <w:rPr>
          <w:b/>
        </w:rPr>
        <w:t>VWF:RCo</w:t>
      </w:r>
      <w:r>
        <w:t xml:space="preserve"> – functionele test;</w:t>
      </w:r>
    </w:p>
    <w:p>
      <w:pPr>
        <w:pStyle w:val="ListBullet"/>
      </w:pPr>
      <w:r>
        <w:rPr>
          <w:b/>
        </w:rPr>
        <w:t>VWF RCo/Ag-ratio</w:t>
      </w:r>
      <w:r>
        <w:t>;</w:t>
      </w:r>
    </w:p>
    <w:p>
      <w:pPr>
        <w:pStyle w:val="ListBullet"/>
      </w:pPr>
      <w:r>
        <w:rPr>
          <w:b/>
        </w:rPr>
        <w:t>VWF-multimeerpatroon</w:t>
      </w:r>
      <w:r>
        <w:t>;</w:t>
      </w:r>
    </w:p>
    <w:p>
      <w:pPr>
        <w:pStyle w:val="ListBullet"/>
      </w:pPr>
      <w:r>
        <w:rPr>
          <w:b/>
        </w:rPr>
        <w:t>Factor VIII:C</w:t>
      </w:r>
      <w:r>
        <w:t>.</w:t>
      </w:r>
    </w:p>
    <w:p>
      <w:r>
        <w:t xml:space="preserve">De ratio helpt onderscheid maken tussen typen: </w:t>
      </w:r>
      <w:r>
        <w:rPr>
          <w:b/>
        </w:rPr>
        <w:t>type 1</w:t>
      </w:r>
      <w:r>
        <w:t xml:space="preserve"> geeft een verhouding </w:t>
      </w:r>
      <w:r>
        <w:rPr>
          <w:b/>
        </w:rPr>
        <w:t>&gt; 0,7</w:t>
      </w:r>
      <w:r>
        <w:t xml:space="preserve">, terwijl </w:t>
      </w:r>
      <w:r>
        <w:rPr>
          <w:b/>
        </w:rPr>
        <w:t>type 2</w:t>
      </w:r>
      <w:r>
        <w:t xml:space="preserve"> een verhouding </w:t>
      </w:r>
      <w:r>
        <w:rPr>
          <w:b/>
        </w:rPr>
        <w:t>≤ 0,7</w:t>
      </w:r>
      <w:r>
        <w:t xml:space="preserve"> geeft.</w:t>
      </w:r>
    </w:p>
    <w:p>
      <w:pPr>
        <w:pStyle w:val="Heading4"/>
      </w:pPr>
      <w:r>
        <w:t>Behandeling van Von Willebrandziekte</w:t>
      </w:r>
    </w:p>
    <w:p>
      <w:r>
        <w:t xml:space="preserve">De behandeling hangt af van het </w:t>
      </w:r>
      <w:r>
        <w:rPr>
          <w:b/>
        </w:rPr>
        <w:t>type</w:t>
      </w:r>
      <w:r>
        <w:t xml:space="preserve"> en van de </w:t>
      </w:r>
      <w:r>
        <w:rPr>
          <w:b/>
        </w:rPr>
        <w:t>ernst van de bloedingen</w:t>
      </w:r>
      <w:r>
        <w:t>. Het doel is, net als bij hemofilie, om bloedingen te voorkomen en ze zo snel mogelijk te stoppen.</w:t>
      </w:r>
    </w:p>
    <w:p>
      <w:r>
        <w:t>De belangrijkste middelen zijn:</w:t>
      </w:r>
    </w:p>
    <w:p>
      <w:pPr>
        <w:pStyle w:val="ListBullet"/>
      </w:pPr>
      <w:r>
        <w:rPr>
          <w:b/>
        </w:rPr>
        <w:t>desmopressine</w:t>
      </w:r>
      <w:r>
        <w:t>;</w:t>
      </w:r>
    </w:p>
    <w:p>
      <w:pPr>
        <w:pStyle w:val="ListBullet"/>
      </w:pPr>
      <w:r>
        <w:rPr>
          <w:b/>
        </w:rPr>
        <w:t>stollingsfactorconcentraat</w:t>
      </w:r>
      <w:r>
        <w:t>;</w:t>
      </w:r>
    </w:p>
    <w:p>
      <w:pPr>
        <w:pStyle w:val="ListBullet"/>
      </w:pPr>
      <w:r>
        <w:rPr>
          <w:b/>
        </w:rPr>
        <w:t>tranexaminezuur</w:t>
      </w:r>
      <w:r>
        <w:t>.</w:t>
      </w:r>
    </w:p>
    <w:p>
      <w:r>
        <w:t xml:space="preserve">Desmopressine is vaak de eerste keuze bij </w:t>
      </w:r>
      <w:r>
        <w:rPr>
          <w:b/>
        </w:rPr>
        <w:t>type 1 VWD</w:t>
      </w:r>
      <w:r>
        <w:t>, omdat het zorgt voor vrijmaken van VWF uit het endotheel. Bij sommige typen 2 kan de respons wisselen; bij type 3 is DDAVP geen optie, omdat er geen VWF is.</w:t>
      </w:r>
    </w:p>
    <w:p>
      <w:r>
        <w:t xml:space="preserve">Stollingsfactorconcentraat bevat </w:t>
      </w:r>
      <w:r>
        <w:rPr>
          <w:b/>
        </w:rPr>
        <w:t>exogeen VWF</w:t>
      </w:r>
      <w:r>
        <w:t>, met of zonder FVIII. Dit middel heeft wel hoge kosten en kan in principe alleen in een hemofiliebehandelcentrum gegeven worden.</w:t>
      </w:r>
    </w:p>
    <w:p>
      <w:r>
        <w:t xml:space="preserve">Tranexaminezuur wordt gebruikt als </w:t>
      </w:r>
      <w:r>
        <w:rPr>
          <w:b/>
        </w:rPr>
        <w:t>adjuvante behandeling</w:t>
      </w:r>
      <w:r>
        <w:t>, vooral bij slijmvliesgerelateerde bloedingen.</w:t>
      </w:r>
    </w:p>
    <w:p>
      <w:pPr>
        <w:pStyle w:val="Heading5"/>
      </w:pPr>
      <w:r>
        <w:t>Tabel 7. Behandeling per type VWD</w:t>
      </w:r>
    </w:p>
    <w:tbl>
      <w:tblPr>
        <w:tblStyle w:val="TableGrid"/>
        <w:tblW w:type="auto" w:w="0"/>
        <w:tblLook w:firstColumn="1" w:firstRow="1" w:lastColumn="0" w:lastRow="0" w:noHBand="0" w:noVBand="1" w:val="04A0"/>
      </w:tblPr>
      <w:tblGrid>
        <w:gridCol w:w="2880"/>
        <w:gridCol w:w="2880"/>
        <w:gridCol w:w="2880"/>
      </w:tblGrid>
      <w:tr>
        <w:tc>
          <w:tcPr>
            <w:tcW w:type="dxa" w:w="2880"/>
          </w:tcPr>
          <w:p>
            <w:r>
              <w:t>Type VWD</w:t>
            </w:r>
          </w:p>
        </w:tc>
        <w:tc>
          <w:tcPr>
            <w:tcW w:type="dxa" w:w="2880"/>
          </w:tcPr>
          <w:p>
            <w:r>
              <w:t>Behandeling van keuze</w:t>
            </w:r>
          </w:p>
        </w:tc>
        <w:tc>
          <w:tcPr>
            <w:tcW w:type="dxa" w:w="2880"/>
          </w:tcPr>
          <w:p>
            <w:r>
              <w:t>Adjuvante behandeling</w:t>
            </w:r>
          </w:p>
        </w:tc>
      </w:tr>
      <w:tr>
        <w:tc>
          <w:tcPr>
            <w:tcW w:type="dxa" w:w="2880"/>
          </w:tcPr>
          <w:p>
            <w:r>
              <w:t>1</w:t>
            </w:r>
          </w:p>
        </w:tc>
        <w:tc>
          <w:tcPr>
            <w:tcW w:type="dxa" w:w="2880"/>
          </w:tcPr>
          <w:p>
            <w:r>
              <w:t>DDAVP</w:t>
            </w:r>
          </w:p>
        </w:tc>
        <w:tc>
          <w:tcPr>
            <w:tcW w:type="dxa" w:w="2880"/>
          </w:tcPr>
          <w:p>
            <w:r>
              <w:t>Tranexaminezuur</w:t>
            </w:r>
          </w:p>
        </w:tc>
      </w:tr>
      <w:tr>
        <w:tc>
          <w:tcPr>
            <w:tcW w:type="dxa" w:w="2880"/>
          </w:tcPr>
          <w:p>
            <w:r>
              <w:t>2A</w:t>
            </w:r>
          </w:p>
        </w:tc>
        <w:tc>
          <w:tcPr>
            <w:tcW w:type="dxa" w:w="2880"/>
          </w:tcPr>
          <w:p>
            <w:r>
              <w:t>Haemate-P / DDAVP</w:t>
            </w:r>
          </w:p>
        </w:tc>
        <w:tc>
          <w:tcPr>
            <w:tcW w:type="dxa" w:w="2880"/>
          </w:tcPr>
          <w:p>
            <w:r>
              <w:t>Tranexaminezuur</w:t>
            </w:r>
          </w:p>
        </w:tc>
      </w:tr>
      <w:tr>
        <w:tc>
          <w:tcPr>
            <w:tcW w:type="dxa" w:w="2880"/>
          </w:tcPr>
          <w:p>
            <w:r>
              <w:t>2B</w:t>
            </w:r>
          </w:p>
        </w:tc>
        <w:tc>
          <w:tcPr>
            <w:tcW w:type="dxa" w:w="2880"/>
          </w:tcPr>
          <w:p>
            <w:r>
              <w:t>Haemate-P</w:t>
            </w:r>
          </w:p>
        </w:tc>
        <w:tc>
          <w:tcPr>
            <w:tcW w:type="dxa" w:w="2880"/>
          </w:tcPr>
          <w:p>
            <w:r>
              <w:t>Tranexaminezuur</w:t>
            </w:r>
          </w:p>
        </w:tc>
      </w:tr>
      <w:tr>
        <w:tc>
          <w:tcPr>
            <w:tcW w:type="dxa" w:w="2880"/>
          </w:tcPr>
          <w:p>
            <w:r>
              <w:t>2M</w:t>
            </w:r>
          </w:p>
        </w:tc>
        <w:tc>
          <w:tcPr>
            <w:tcW w:type="dxa" w:w="2880"/>
          </w:tcPr>
          <w:p>
            <w:r>
              <w:t>Haemate-P / DDAVP</w:t>
            </w:r>
          </w:p>
        </w:tc>
        <w:tc>
          <w:tcPr>
            <w:tcW w:type="dxa" w:w="2880"/>
          </w:tcPr>
          <w:p>
            <w:r>
              <w:t>Tranexaminezuur</w:t>
            </w:r>
          </w:p>
        </w:tc>
      </w:tr>
      <w:tr>
        <w:tc>
          <w:tcPr>
            <w:tcW w:type="dxa" w:w="2880"/>
          </w:tcPr>
          <w:p>
            <w:r>
              <w:t>2N</w:t>
            </w:r>
          </w:p>
        </w:tc>
        <w:tc>
          <w:tcPr>
            <w:tcW w:type="dxa" w:w="2880"/>
          </w:tcPr>
          <w:p>
            <w:r>
              <w:t>Haemate-P / DDAVP</w:t>
            </w:r>
          </w:p>
        </w:tc>
        <w:tc>
          <w:tcPr>
            <w:tcW w:type="dxa" w:w="2880"/>
          </w:tcPr>
          <w:p>
            <w:r>
              <w:t>Tranexaminezuur</w:t>
            </w:r>
          </w:p>
        </w:tc>
      </w:tr>
      <w:tr>
        <w:tc>
          <w:tcPr>
            <w:tcW w:type="dxa" w:w="2880"/>
          </w:tcPr>
          <w:p>
            <w:r>
              <w:t>3</w:t>
            </w:r>
          </w:p>
        </w:tc>
        <w:tc>
          <w:tcPr>
            <w:tcW w:type="dxa" w:w="2880"/>
          </w:tcPr>
          <w:p>
            <w:r>
              <w:t>Haemate-P</w:t>
            </w:r>
          </w:p>
        </w:tc>
        <w:tc>
          <w:tcPr>
            <w:tcW w:type="dxa" w:w="2880"/>
          </w:tcPr>
          <w:p>
            <w:r>
              <w:t>Tranexaminezuur</w:t>
            </w:r>
          </w:p>
        </w:tc>
      </w:tr>
    </w:tbl>
    <w:p>
      <w:pPr>
        <w:pStyle w:val="Heading4"/>
      </w:pPr>
      <w:r>
        <w:t>Samenvatting van de verschillen</w:t>
      </w:r>
    </w:p>
    <w:p>
      <w:r>
        <w:t>Hemofilie en Von Willebrandziekte lijken allebei bloedingsstoornissen, maar ze verschillen in oorzaak en in bloedingspatroon.</w:t>
      </w:r>
    </w:p>
    <w:p>
      <w:pPr>
        <w:pStyle w:val="ListBullet"/>
      </w:pPr>
      <w:r>
        <w:rPr>
          <w:b/>
        </w:rPr>
        <w:t>Hemofilie</w:t>
      </w:r>
      <w:r>
        <w:t xml:space="preserve">: vooral een stoornis van de </w:t>
      </w:r>
      <w:r>
        <w:rPr>
          <w:b/>
        </w:rPr>
        <w:t>secundaire hemostase</w:t>
      </w:r>
      <w:r>
        <w:t xml:space="preserve">, vaak bij mannen, met vooral </w:t>
      </w:r>
      <w:r>
        <w:rPr>
          <w:b/>
        </w:rPr>
        <w:t>gewrichts- en spierbloedingen</w:t>
      </w:r>
      <w:r>
        <w:t>.</w:t>
      </w:r>
    </w:p>
    <w:p>
      <w:pPr>
        <w:pStyle w:val="ListBullet"/>
      </w:pPr>
      <w:r>
        <w:rPr>
          <w:b/>
        </w:rPr>
        <w:t>Von Willebrandziekte</w:t>
      </w:r>
      <w:r>
        <w:t xml:space="preserve">: vooral een stoornis van de </w:t>
      </w:r>
      <w:r>
        <w:rPr>
          <w:b/>
        </w:rPr>
        <w:t>primaire hemostase</w:t>
      </w:r>
      <w:r>
        <w:t xml:space="preserve">, met vooral </w:t>
      </w:r>
      <w:r>
        <w:rPr>
          <w:b/>
        </w:rPr>
        <w:t>slijmvliesbloedingen</w:t>
      </w:r>
      <w:r>
        <w:t xml:space="preserve"> zoals neusbloedingen en menorrhagie.</w:t>
      </w:r>
    </w:p>
    <w:p>
      <w:r>
        <w:t xml:space="preserve">Bij de behandeling draait het steeds om hetzelfde principe: </w:t>
      </w:r>
      <w:r>
        <w:rPr>
          <w:b/>
        </w:rPr>
        <w:t>bloedingen voorkomen en, als ze er zijn, zo snel mogelijk stoppen</w:t>
      </w:r>
      <w:r>
        <w:t>.</w:t>
      </w:r>
    </w:p>
    <w:p>
      <w:pPr>
        <w:pStyle w:val="Heading4"/>
      </w:pPr>
      <w:r>
        <w:t>Samenvatting</w:t>
      </w:r>
    </w:p>
    <w:p>
      <w:r>
        <w:t>Aangeboren stollingsstoornissen kunnen leiden tot een bloedingsneiging in de primaire of secundaire hemostase. De twee belangrijkste aandoeningen zijn hemofilie en de ziekte van Von Willebrand. Hemofilie hoort bij de secundaire hemostase, geeft vooral gewrichts- en spierbloedingen en is X-gebonden: mannen zijn aangedaan, vrouwen zijn vaak draagster maar kunnen ook klachten hebben. De ziekte van Von Willebrand hoort bij de primaire hemostase, geeft vooral slijmvliesbloedingen en is de meest voorkomende erfelijke stollingsstoornis.</w:t>
      </w:r>
    </w:p>
    <w:p>
      <w:r>
        <w:t>De diagnostiek begint met een goede anamnese, aandacht voor familiegeschiedenis en gericht laboratoriumonderzoek. De behandeling van hemofilie berust op stollingsfactorsubstitutie, DDAVP bij milde hemofilie A en tranexaminezuur als adjuvans. Bij Von Willebrandziekte hangt de behandeling af van het type, met DDAVP, factorconcentraat en tranexaminezuur als belangrijkste opties.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