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61 – Remmen versus stimuleren van het afweersysteem</w:t>
      </w:r>
    </w:p>
    <w:p>
      <w:pPr>
        <w:pStyle w:val="Heading4"/>
      </w:pPr>
      <w:r>
        <w:t>Leerdoelen</w:t>
      </w:r>
    </w:p>
    <w:p>
      <w:r>
        <w:t>Na het bestuderen van deze stof kun je:</w:t>
      </w:r>
    </w:p>
    <w:p>
      <w:pPr>
        <w:pStyle w:val="ListBullet"/>
      </w:pPr>
      <w:r>
        <w:t>een overzicht geven van immunomodulerende middelen en methoden;</w:t>
      </w:r>
    </w:p>
    <w:p>
      <w:pPr>
        <w:pStyle w:val="ListBullet"/>
      </w:pPr>
      <w:r>
        <w:t>aangeven welke immuunmodulerende behandelingen bij welke ziektebeelden worden gebruikt;</w:t>
      </w:r>
    </w:p>
    <w:p>
      <w:pPr>
        <w:pStyle w:val="ListBullet"/>
      </w:pPr>
      <w:r>
        <w:t>de relatie leggen tussen de pathofysiologie van een ziekte en het werkingsmechanisme van een behandeling;</w:t>
      </w:r>
    </w:p>
    <w:p>
      <w:pPr>
        <w:pStyle w:val="ListBullet"/>
      </w:pPr>
      <w:r>
        <w:t>bijwerkingen van immuunmodulerende behandelingen verklaren vanuit hun werkingsmechanisme.</w:t>
      </w:r>
    </w:p>
    <w:p>
      <w:pPr>
        <w:pStyle w:val="Heading4"/>
      </w:pPr>
      <w:r>
        <w:t>Inleiding: remmen of stimuleren van het immuunsysteem</w:t>
      </w:r>
    </w:p>
    <w:p>
      <w:r>
        <w:t xml:space="preserve">Het immuunsysteem reageert meestal goed op vreemde antigenen. Toch zijn er situaties waarin die reactie te sterk, verkeerd gericht of juist onvoldoende is. Klinische immunologie probeert deze afwijkingen bij te sturen. Daarvoor zijn grofweg twee strategieën belangrijk: </w:t>
      </w:r>
      <w:r>
        <w:rPr>
          <w:b/>
        </w:rPr>
        <w:t>immuunsuppressie</w:t>
      </w:r>
      <w:r>
        <w:t xml:space="preserve"> en </w:t>
      </w:r>
      <w:r>
        <w:rPr>
          <w:b/>
        </w:rPr>
        <w:t>immuunstimulatie</w:t>
      </w:r>
      <w:r>
        <w:t>.</w:t>
      </w:r>
    </w:p>
    <w:p>
      <w:r>
        <w:t xml:space="preserve">Immuunsuppressie is vooral belangrijk bij </w:t>
      </w:r>
      <w:r>
        <w:rPr>
          <w:b/>
        </w:rPr>
        <w:t>orgaantransplantaties</w:t>
      </w:r>
      <w:r>
        <w:t xml:space="preserve"> en </w:t>
      </w:r>
      <w:r>
        <w:rPr>
          <w:b/>
        </w:rPr>
        <w:t>auto-immuunziekten</w:t>
      </w:r>
      <w:r>
        <w:t>. Bij transplantaties wil je afstoting voorkomen, en bij auto-immuunziekten wil je de schade door een overactief immuunsysteem afremmen. Historisch hebben verbeterde middelen tegen afstoting de overleving na transplantatie sterk verbeterd; de eerste harttransplantatiepatiënt overleefde in 1967 slechts 18 dagen, terwijl de uitkomsten nu veel beter zijn.</w:t>
      </w:r>
    </w:p>
    <w:p>
      <w:r>
        <w:t xml:space="preserve">Immuunstimulatie is het tegenovergestelde: je probeert het immuunsysteem juist krachtiger te maken, bijvoorbeeld tegen </w:t>
      </w:r>
      <w:r>
        <w:rPr>
          <w:b/>
        </w:rPr>
        <w:t>tumoren</w:t>
      </w:r>
      <w:r>
        <w:t xml:space="preserve">. Dat gebeurt tegenwoordig vooral met </w:t>
      </w:r>
      <w:r>
        <w:rPr>
          <w:b/>
        </w:rPr>
        <w:t>cytokinen</w:t>
      </w:r>
      <w:r>
        <w:t xml:space="preserve">, </w:t>
      </w:r>
      <w:r>
        <w:rPr>
          <w:b/>
        </w:rPr>
        <w:t>immuun-checkpointremmers</w:t>
      </w:r>
      <w:r>
        <w:t xml:space="preserve"> en </w:t>
      </w:r>
      <w:r>
        <w:rPr>
          <w:b/>
        </w:rPr>
        <w:t>CAR-T-cellen</w:t>
      </w:r>
      <w:r>
        <w:t>.</w:t>
      </w:r>
    </w:p>
    <w:p>
      <w:r>
        <w:t xml:space="preserve">Ter onderscheid: een middel zoals </w:t>
      </w:r>
      <w:r>
        <w:rPr>
          <w:b/>
        </w:rPr>
        <w:t>aspirine</w:t>
      </w:r>
      <w:r>
        <w:t xml:space="preserve"> remt wel ontsteking, maar is </w:t>
      </w:r>
      <w:r>
        <w:rPr>
          <w:b/>
        </w:rPr>
        <w:t>geen</w:t>
      </w:r>
      <w:r>
        <w:t xml:space="preserve"> immunosuppressivum.</w:t>
      </w:r>
    </w:p>
    <w:p>
      <w:r>
        <w:t>---</w:t>
      </w:r>
    </w:p>
    <w:p>
      <w:pPr>
        <w:pStyle w:val="Heading4"/>
      </w:pPr>
      <w:r>
        <w:t>Immuunsuppressieve geneesmiddelen</w:t>
      </w:r>
    </w:p>
    <w:p>
      <w:r>
        <w:t xml:space="preserve">Immuunsuppressiva vormen een heterogene groep. Sommige middelen werken vooral op </w:t>
      </w:r>
      <w:r>
        <w:rPr>
          <w:b/>
        </w:rPr>
        <w:t>rijpe immuuncellen</w:t>
      </w:r>
      <w:r>
        <w:t xml:space="preserve"> en remmen hun functie, terwijl andere de </w:t>
      </w:r>
      <w:r>
        <w:rPr>
          <w:b/>
        </w:rPr>
        <w:t>groei of rijping</w:t>
      </w:r>
      <w:r>
        <w:t xml:space="preserve"> van cellen remmen. Daardoor zijn de effecten en bijwerkingen verschillend.</w:t>
      </w:r>
    </w:p>
    <w:p>
      <w:pPr>
        <w:pStyle w:val="Heading5"/>
      </w:pPr>
      <w:r>
        <w:t>Tabel 1. Belangrijkste immunosuppressieve geneesmiddelen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Middel/groep</w:t>
            </w:r>
          </w:p>
        </w:tc>
        <w:tc>
          <w:tcPr>
            <w:tcW w:type="dxa" w:w="2160"/>
          </w:tcPr>
          <w:p>
            <w:r>
              <w:t>Werking</w:t>
            </w:r>
          </w:p>
        </w:tc>
        <w:tc>
          <w:tcPr>
            <w:tcW w:type="dxa" w:w="2160"/>
          </w:tcPr>
          <w:p>
            <w:r>
              <w:t>Belangrijke toepassing</w:t>
            </w:r>
          </w:p>
        </w:tc>
        <w:tc>
          <w:tcPr>
            <w:tcW w:type="dxa" w:w="2160"/>
          </w:tcPr>
          <w:p>
            <w:r>
              <w:t>Belangrijke bijwerkingen/opmerkingen</w:t>
            </w:r>
          </w:p>
        </w:tc>
      </w:tr>
      <w:tr>
        <w:tc>
          <w:tcPr>
            <w:tcW w:type="dxa" w:w="2160"/>
          </w:tcPr>
          <w:p>
            <w:r>
              <w:t>Corticosteroïden</w:t>
            </w:r>
          </w:p>
        </w:tc>
        <w:tc>
          <w:tcPr>
            <w:tcW w:type="dxa" w:w="2160"/>
          </w:tcPr>
          <w:p>
            <w:r>
              <w:t>Remmen cytokine-gen transcriptie</w:t>
            </w:r>
          </w:p>
        </w:tc>
        <w:tc>
          <w:tcPr>
            <w:tcW w:type="dxa" w:w="2160"/>
          </w:tcPr>
          <w:p>
            <w:r>
              <w:t>Brede immuunsuppressie</w:t>
            </w:r>
          </w:p>
        </w:tc>
        <w:tc>
          <w:tcPr>
            <w:tcW w:type="dxa" w:w="2160"/>
          </w:tcPr>
          <w:p>
            <w:r>
              <w:t>Werken op functies van rijpe cellen</w:t>
            </w:r>
          </w:p>
        </w:tc>
      </w:tr>
      <w:tr>
        <w:tc>
          <w:tcPr>
            <w:tcW w:type="dxa" w:w="2160"/>
          </w:tcPr>
          <w:p>
            <w:r>
              <w:t>Calcineurineremmers: ciclosporine, tacrolimus</w:t>
            </w:r>
          </w:p>
        </w:tc>
        <w:tc>
          <w:tcPr>
            <w:tcW w:type="dxa" w:w="2160"/>
          </w:tcPr>
          <w:p>
            <w:r>
              <w:t>Remmen calcineurine en daarmee T-celactivatie</w:t>
            </w:r>
          </w:p>
        </w:tc>
        <w:tc>
          <w:tcPr>
            <w:tcW w:type="dxa" w:w="2160"/>
          </w:tcPr>
          <w:p>
            <w:r>
              <w:t>Transplantatie, auto-immuunziekten</w:t>
            </w:r>
          </w:p>
        </w:tc>
        <w:tc>
          <w:tcPr>
            <w:tcW w:type="dxa" w:w="2160"/>
          </w:tcPr>
          <w:p>
            <w:r>
              <w:t>Werken op functies van rijpe cellen</w:t>
            </w:r>
          </w:p>
        </w:tc>
      </w:tr>
      <w:tr>
        <w:tc>
          <w:tcPr>
            <w:tcW w:type="dxa" w:w="2160"/>
          </w:tcPr>
          <w:p>
            <w:r>
              <w:t>Azathioprine</w:t>
            </w:r>
          </w:p>
        </w:tc>
        <w:tc>
          <w:tcPr>
            <w:tcW w:type="dxa" w:w="2160"/>
          </w:tcPr>
          <w:p>
            <w:r>
              <w:t>Purinederivaat; remt DNA-replicatie in delende cellen</w:t>
            </w:r>
          </w:p>
        </w:tc>
        <w:tc>
          <w:tcPr>
            <w:tcW w:type="dxa" w:w="2160"/>
          </w:tcPr>
          <w:p>
            <w:r>
              <w:t>Preventie van afstoting, systemische auto-immuunziekten</w:t>
            </w:r>
          </w:p>
        </w:tc>
        <w:tc>
          <w:tcPr>
            <w:tcW w:type="dxa" w:w="2160"/>
          </w:tcPr>
          <w:p>
            <w:r>
              <w:t>Beenmergsuppressie, controle van leukocyten en trombocyten nodig, darmepitheel kan ook worden beïnvloed</w:t>
            </w:r>
          </w:p>
        </w:tc>
      </w:tr>
      <w:tr>
        <w:tc>
          <w:tcPr>
            <w:tcW w:type="dxa" w:w="2160"/>
          </w:tcPr>
          <w:p>
            <w:r>
              <w:t>Mycofenolaatmofetil</w:t>
            </w:r>
          </w:p>
        </w:tc>
        <w:tc>
          <w:tcPr>
            <w:tcW w:type="dxa" w:w="2160"/>
          </w:tcPr>
          <w:p>
            <w:r>
              <w:t>Remt IMP-dehydrogenase en dus de novo purinesynthese</w:t>
            </w:r>
          </w:p>
        </w:tc>
        <w:tc>
          <w:tcPr>
            <w:tcW w:type="dxa" w:w="2160"/>
          </w:tcPr>
          <w:p>
            <w:r>
              <w:t>Onderhoudsimmuunsuppressie na transplantatie, vervanging bij azathioprineproblemen</w:t>
            </w:r>
          </w:p>
        </w:tc>
        <w:tc>
          <w:tcPr>
            <w:tcW w:type="dxa" w:w="2160"/>
          </w:tcPr>
          <w:p>
            <w:r>
              <w:t>Selectief voor geactiveerde T- en B-cellen</w:t>
            </w:r>
          </w:p>
        </w:tc>
      </w:tr>
      <w:tr>
        <w:tc>
          <w:tcPr>
            <w:tcW w:type="dxa" w:w="2160"/>
          </w:tcPr>
          <w:p>
            <w:r>
              <w:t>Cyclofosfamide</w:t>
            </w:r>
          </w:p>
        </w:tc>
        <w:tc>
          <w:tcPr>
            <w:tcW w:type="dxa" w:w="2160"/>
          </w:tcPr>
          <w:p>
            <w:r>
              <w:t>Alkylerend middel; interfereert met DNA-verdubbeling</w:t>
            </w:r>
          </w:p>
        </w:tc>
        <w:tc>
          <w:tcPr>
            <w:tcW w:type="dxa" w:w="2160"/>
          </w:tcPr>
          <w:p>
            <w:r>
              <w:t>Aggressieve auto-immuunziekten, HSCT-conditionering, sommige maligniteiten</w:t>
            </w:r>
          </w:p>
        </w:tc>
        <w:tc>
          <w:tcPr>
            <w:tcW w:type="dxa" w:w="2160"/>
          </w:tcPr>
          <w:p>
            <w:r>
              <w:t>Infectierisico, reactivering van virussen, blaascarcinoom bij langdurig gebruik</w:t>
            </w:r>
          </w:p>
        </w:tc>
      </w:tr>
    </w:tbl>
    <w:p>
      <w:pPr>
        <w:pStyle w:val="Heading5"/>
      </w:pPr>
      <w:r>
        <w:t>Klassieke middelen: corticosteroïden en calcineurineremmers</w:t>
      </w:r>
    </w:p>
    <w:p>
      <w:r>
        <w:rPr>
          <w:b/>
        </w:rPr>
        <w:t>Corticosteroïden</w:t>
      </w:r>
      <w:r>
        <w:t xml:space="preserve"> remmen de transcriptie van cytokinegenen. Daardoor wordt de ontstekingsreactie breed onderdrukt.</w:t>
      </w:r>
    </w:p>
    <w:p>
      <w:r>
        <w:rPr>
          <w:b/>
        </w:rPr>
        <w:t>Calcineurineremmers</w:t>
      </w:r>
      <w:r>
        <w:t xml:space="preserve"> zoals </w:t>
      </w:r>
      <w:r>
        <w:rPr>
          <w:b/>
        </w:rPr>
        <w:t>ciclosporine</w:t>
      </w:r>
      <w:r>
        <w:t xml:space="preserve"> en </w:t>
      </w:r>
      <w:r>
        <w:rPr>
          <w:b/>
        </w:rPr>
        <w:t>tacrolimus</w:t>
      </w:r>
      <w:r>
        <w:t xml:space="preserve"> remmen calcineurine. Calcineurine is belangrijk voor T-celactivatie. Als die stap geblokkeerd wordt, komt de T-cel minder goed tot actie.</w:t>
      </w:r>
    </w:p>
    <w:p>
      <w:pPr>
        <w:pStyle w:val="Heading5"/>
      </w:pPr>
      <w:r>
        <w:t>Azathioprine</w:t>
      </w:r>
    </w:p>
    <w:p>
      <w:r>
        <w:rPr>
          <w:b/>
        </w:rPr>
        <w:t>Azathioprine</w:t>
      </w:r>
      <w:r>
        <w:t xml:space="preserve"> is een purinederivaat en een belangrijk immunosuppressivum uit de groep van de cytostatica. Het middel is </w:t>
      </w:r>
      <w:r>
        <w:rPr>
          <w:b/>
        </w:rPr>
        <w:t>inactief totdat het door de lever wordt gemetaboliseerd</w:t>
      </w:r>
      <w:r>
        <w:t xml:space="preserve">; het duurt daarom een paar weken voordat het effect optreedt. De metabolieten werken vooral op </w:t>
      </w:r>
      <w:r>
        <w:rPr>
          <w:b/>
        </w:rPr>
        <w:t>delende cellen</w:t>
      </w:r>
      <w:r>
        <w:t xml:space="preserve"> en remmen zo de DNA-replicatie. Daardoor wordt de proliferatie van </w:t>
      </w:r>
      <w:r>
        <w:rPr>
          <w:b/>
        </w:rPr>
        <w:t>CD4+- en CD8+-T-lymfocyten</w:t>
      </w:r>
      <w:r>
        <w:t>, inclusief alloreactieve T-cellen, geremd.</w:t>
      </w:r>
    </w:p>
    <w:p>
      <w:r>
        <w:t>Azathioprine wordt gebruikt bij:</w:t>
      </w:r>
    </w:p>
    <w:p>
      <w:pPr>
        <w:pStyle w:val="ListBullet"/>
      </w:pPr>
      <w:r>
        <w:rPr>
          <w:b/>
        </w:rPr>
        <w:t>preventie van afstoting na orgaantransplantatie</w:t>
      </w:r>
      <w:r>
        <w:t>;</w:t>
      </w:r>
    </w:p>
    <w:p>
      <w:pPr>
        <w:pStyle w:val="ListBullet"/>
      </w:pPr>
      <w:r>
        <w:rPr>
          <w:b/>
        </w:rPr>
        <w:t>behandeling van systemische auto-immuunziekten</w:t>
      </w:r>
      <w:r>
        <w:t>.</w:t>
      </w:r>
    </w:p>
    <w:p>
      <w:r>
        <w:t xml:space="preserve">De nadelen komen voort uit het effect op snel delende cellen. Een belangrijke bijwerking is </w:t>
      </w:r>
      <w:r>
        <w:rPr>
          <w:b/>
        </w:rPr>
        <w:t>beenmergsuppressie</w:t>
      </w:r>
      <w:r>
        <w:t xml:space="preserve">; daarom moeten leukocyten- en trombocytentellingen gecontroleerd worden. Ook het </w:t>
      </w:r>
      <w:r>
        <w:rPr>
          <w:b/>
        </w:rPr>
        <w:t>darmepitheel</w:t>
      </w:r>
      <w:r>
        <w:t xml:space="preserve"> kan getroffen worden.</w:t>
      </w:r>
    </w:p>
    <w:p>
      <w:r>
        <w:rPr>
          <w:b/>
        </w:rPr>
        <w:t>Aandachtspunt:</w:t>
      </w:r>
      <w:r>
        <w:t xml:space="preserve"> waarom is azathioprine niet geschikt bij leverfalen?  </w:t>
        <w:br/>
      </w:r>
      <w:r>
        <w:rPr>
          <w:b/>
        </w:rPr>
        <w:t>Antwoord:</w:t>
      </w:r>
      <w:r>
        <w:t xml:space="preserve"> omdat het middel door de lever moet worden omgezet in de werkzame vorm en dan minder effectief is.</w:t>
      </w:r>
    </w:p>
    <w:p>
      <w:pPr>
        <w:pStyle w:val="Heading5"/>
      </w:pPr>
      <w:r>
        <w:t>Mycofenolaatmofetil</w:t>
      </w:r>
    </w:p>
    <w:p>
      <w:r>
        <w:rPr>
          <w:b/>
        </w:rPr>
        <w:t>Mycofenolaatmofetil</w:t>
      </w:r>
      <w:r>
        <w:t xml:space="preserve"> remt </w:t>
      </w:r>
      <w:r>
        <w:rPr>
          <w:b/>
        </w:rPr>
        <w:t>IMPDH</w:t>
      </w:r>
      <w:r>
        <w:t xml:space="preserve"> (inosinemonofosfaatdehydrogenase), een sleutelenzym in de de novo synthese van purines in geactiveerde T- en B-lymfocyten. Het grijpt daardoor relatief selectief in op de proliferatie van deze lymfocyten.</w:t>
      </w:r>
    </w:p>
    <w:p>
      <w:r>
        <w:t>Het middel is:</w:t>
      </w:r>
    </w:p>
    <w:p>
      <w:pPr>
        <w:pStyle w:val="ListBullet"/>
      </w:pPr>
      <w:r>
        <w:t xml:space="preserve">een goede </w:t>
      </w:r>
      <w:r>
        <w:rPr>
          <w:b/>
        </w:rPr>
        <w:t>vervanger voor azathioprine</w:t>
      </w:r>
      <w:r>
        <w:t xml:space="preserve"> als dat faalt of als er beenmergstoxiciteit is;</w:t>
      </w:r>
    </w:p>
    <w:p>
      <w:pPr>
        <w:pStyle w:val="ListBullet"/>
      </w:pPr>
      <w:r>
        <w:t xml:space="preserve">een vaste component in </w:t>
      </w:r>
      <w:r>
        <w:rPr>
          <w:b/>
        </w:rPr>
        <w:t>onderhoudsimmuunsuppressie na transplantatie</w:t>
      </w:r>
      <w:r>
        <w:t>.</w:t>
      </w:r>
    </w:p>
    <w:p>
      <w:pPr>
        <w:pStyle w:val="Heading5"/>
      </w:pPr>
      <w:r>
        <w:t>Cyclofosfamide</w:t>
      </w:r>
    </w:p>
    <w:p>
      <w:r>
        <w:rPr>
          <w:b/>
        </w:rPr>
        <w:t>Cyclofosfamide</w:t>
      </w:r>
      <w:r>
        <w:t xml:space="preserve"> is een alkylerend middel. Het interfereert met de </w:t>
      </w:r>
      <w:r>
        <w:rPr>
          <w:b/>
        </w:rPr>
        <w:t>DNA-verdubbeling</w:t>
      </w:r>
      <w:r>
        <w:t xml:space="preserve"> in de </w:t>
      </w:r>
      <w:r>
        <w:rPr>
          <w:b/>
        </w:rPr>
        <w:t>premitotische fase</w:t>
      </w:r>
      <w:r>
        <w:t xml:space="preserve"> en is daardoor vooral effectief in snel delende cellen. Het middel moet ook door de </w:t>
      </w:r>
      <w:r>
        <w:rPr>
          <w:b/>
        </w:rPr>
        <w:t>lever</w:t>
      </w:r>
      <w:r>
        <w:t xml:space="preserve"> worden gemetaboliseerd naar actieve metabolieten.</w:t>
      </w:r>
    </w:p>
    <w:p>
      <w:r>
        <w:t xml:space="preserve">Cyclofosfamide heeft weinig directe ontstekingsremmende activiteit en wordt daarom vaak </w:t>
      </w:r>
      <w:r>
        <w:rPr>
          <w:b/>
        </w:rPr>
        <w:t>in combinatie met steroïden</w:t>
      </w:r>
      <w:r>
        <w:t xml:space="preserve"> gegeven. Het wordt gebruikt bij:</w:t>
      </w:r>
    </w:p>
    <w:p>
      <w:pPr>
        <w:pStyle w:val="ListBullet"/>
      </w:pPr>
      <w:r>
        <w:rPr>
          <w:b/>
        </w:rPr>
        <w:t>agressieve auto-immuunziekten</w:t>
      </w:r>
      <w:r>
        <w:t>;</w:t>
      </w:r>
    </w:p>
    <w:p>
      <w:pPr>
        <w:pStyle w:val="ListBullet"/>
      </w:pPr>
      <w:r>
        <w:rPr>
          <w:b/>
        </w:rPr>
        <w:t>conditionering voor hematopoëtische stamceltransplantatie</w:t>
      </w:r>
      <w:r>
        <w:t>;</w:t>
      </w:r>
    </w:p>
    <w:p>
      <w:pPr>
        <w:pStyle w:val="ListBullet"/>
      </w:pPr>
      <w:r>
        <w:t xml:space="preserve">diverse </w:t>
      </w:r>
      <w:r>
        <w:rPr>
          <w:b/>
        </w:rPr>
        <w:t>hematologische en solide maligniteiten</w:t>
      </w:r>
      <w:r>
        <w:t>.</w:t>
      </w:r>
    </w:p>
    <w:p>
      <w:r>
        <w:t>Belangrijke gevolgen van deze behandeling zijn:</w:t>
      </w:r>
    </w:p>
    <w:p>
      <w:pPr>
        <w:pStyle w:val="ListBullet"/>
      </w:pPr>
      <w:r>
        <w:t xml:space="preserve">verhoogd </w:t>
      </w:r>
      <w:r>
        <w:rPr>
          <w:b/>
        </w:rPr>
        <w:t>infectierisico</w:t>
      </w:r>
      <w:r>
        <w:t>;</w:t>
      </w:r>
    </w:p>
    <w:p>
      <w:pPr>
        <w:pStyle w:val="ListBullet"/>
      </w:pPr>
      <w:r>
        <w:t xml:space="preserve">duidelijke </w:t>
      </w:r>
      <w:r>
        <w:rPr>
          <w:b/>
        </w:rPr>
        <w:t>daling van CD8+-cellen</w:t>
      </w:r>
      <w:r>
        <w:t xml:space="preserve"> en later herstel van CD4+-cellen;</w:t>
      </w:r>
    </w:p>
    <w:p>
      <w:pPr>
        <w:pStyle w:val="ListBullet"/>
      </w:pPr>
      <w:r>
        <w:t xml:space="preserve">reactivering van latente virussen zoals </w:t>
      </w:r>
      <w:r>
        <w:rPr>
          <w:b/>
        </w:rPr>
        <w:t>CMV</w:t>
      </w:r>
      <w:r>
        <w:t xml:space="preserve"> en </w:t>
      </w:r>
      <w:r>
        <w:rPr>
          <w:b/>
        </w:rPr>
        <w:t>varicella-zoster</w:t>
      </w:r>
      <w:r>
        <w:t>;</w:t>
      </w:r>
    </w:p>
    <w:p>
      <w:pPr>
        <w:pStyle w:val="ListBullet"/>
      </w:pPr>
      <w:r>
        <w:t xml:space="preserve">bij langdurig hoge doseringen een relatie met </w:t>
      </w:r>
      <w:r>
        <w:rPr>
          <w:b/>
        </w:rPr>
        <w:t>blaaskanker</w:t>
      </w:r>
      <w:r>
        <w:t xml:space="preserve">, door de kankerverwekkende metaboliet </w:t>
      </w:r>
      <w:r>
        <w:rPr>
          <w:b/>
        </w:rPr>
        <w:t>acroleïne</w:t>
      </w:r>
      <w:r>
        <w:t>.</w:t>
      </w:r>
    </w:p>
    <w:p>
      <w:r>
        <w:rPr>
          <w:b/>
        </w:rPr>
        <w:t>Aandachtspunt:</w:t>
      </w:r>
      <w:r>
        <w:t xml:space="preserve"> waarom kan cyclofosfamide de infectiekans verhogen?  </w:t>
        <w:br/>
      </w:r>
      <w:r>
        <w:rPr>
          <w:b/>
        </w:rPr>
        <w:t>Antwoord:</w:t>
      </w:r>
      <w:r>
        <w:t xml:space="preserve"> omdat het snel delende immuuncellen remt en zo de afweer tijdelijk verzwakt.</w:t>
      </w:r>
    </w:p>
    <w:p>
      <w:r>
        <w:t>---</w:t>
      </w:r>
    </w:p>
    <w:p>
      <w:pPr>
        <w:pStyle w:val="Heading4"/>
      </w:pPr>
      <w:r>
        <w:t>Biologicals: gerichte immuunmodulatie</w:t>
      </w:r>
    </w:p>
    <w:p>
      <w:r>
        <w:t xml:space="preserve">Met meer inzicht in ontstekingsprocessen zijn </w:t>
      </w:r>
      <w:r>
        <w:rPr>
          <w:b/>
        </w:rPr>
        <w:t>biologicals</w:t>
      </w:r>
      <w:r>
        <w:t xml:space="preserve"> ontwikkeld: eiwitten of antilichamen die heel gericht ingrijpen in het immuunsysteem, vaak op het niveau van </w:t>
      </w:r>
      <w:r>
        <w:rPr>
          <w:b/>
        </w:rPr>
        <w:t>cytokinen</w:t>
      </w:r>
      <w:r>
        <w:t xml:space="preserve"> of hun receptoren. Dat maakt ze effectiever en specifieker dan veel oudere middelen, maar ook deze middelen kunnen duidelijke bijwerkingen geven.</w:t>
      </w:r>
    </w:p>
    <w:p>
      <w:pPr>
        <w:pStyle w:val="Heading5"/>
      </w:pPr>
      <w:r>
        <w:t>Monoklonale antistoffen: naamgeving en herkomst</w:t>
      </w:r>
    </w:p>
    <w:p>
      <w:r>
        <w:t>Monoklonale antistoffen die bij de mens worden gebruikt, kunnen verschillende herkomst hebben. Dat zie je vaak terug in de naam.</w:t>
      </w:r>
    </w:p>
    <w:p>
      <w:pPr>
        <w:pStyle w:val="Heading5"/>
      </w:pPr>
      <w:r>
        <w:t>Tabel 2. Herkomst van monoklonale antistoffen</w:t>
      </w:r>
    </w:p>
    <w:tbl>
      <w:tblPr>
        <w:tblStyle w:val="TableGrid"/>
        <w:tblW w:type="auto" w:w="0"/>
        <w:tblLook w:firstColumn="1" w:firstRow="1" w:lastColumn="0" w:lastRow="0" w:noHBand="0" w:noVBand="1" w:val="04A0"/>
      </w:tblPr>
      <w:tblGrid>
        <w:gridCol w:w="2880"/>
        <w:gridCol w:w="2880"/>
        <w:gridCol w:w="2880"/>
      </w:tblGrid>
      <w:tr>
        <w:tc>
          <w:tcPr>
            <w:tcW w:type="dxa" w:w="2880"/>
          </w:tcPr>
          <w:p>
            <w:r>
              <w:t>Naamdeel</w:t>
            </w:r>
          </w:p>
        </w:tc>
        <w:tc>
          <w:tcPr>
            <w:tcW w:type="dxa" w:w="2880"/>
          </w:tcPr>
          <w:p>
            <w:r>
              <w:t>Betekenis</w:t>
            </w:r>
          </w:p>
        </w:tc>
        <w:tc>
          <w:tcPr>
            <w:tcW w:type="dxa" w:w="2880"/>
          </w:tcPr>
          <w:p>
            <w:r>
              <w:t>Voorbeeld</w:t>
            </w:r>
          </w:p>
        </w:tc>
      </w:tr>
      <w:tr>
        <w:tc>
          <w:tcPr>
            <w:tcW w:type="dxa" w:w="2880"/>
          </w:tcPr>
          <w:p>
            <w:r>
              <w:t>o</w:t>
            </w:r>
          </w:p>
        </w:tc>
        <w:tc>
          <w:tcPr>
            <w:tcW w:type="dxa" w:w="2880"/>
          </w:tcPr>
          <w:p>
            <w:r>
              <w:t>afkomstig van muizen</w:t>
            </w:r>
          </w:p>
        </w:tc>
        <w:tc>
          <w:tcPr>
            <w:tcW w:type="dxa" w:w="2880"/>
          </w:tcPr>
          <w:p>
            <w:r>
              <w:t>muromonab</w:t>
            </w:r>
          </w:p>
        </w:tc>
      </w:tr>
      <w:tr>
        <w:tc>
          <w:tcPr>
            <w:tcW w:type="dxa" w:w="2880"/>
          </w:tcPr>
          <w:p>
            <w:r>
              <w:t>xi</w:t>
            </w:r>
          </w:p>
        </w:tc>
        <w:tc>
          <w:tcPr>
            <w:tcW w:type="dxa" w:w="2880"/>
          </w:tcPr>
          <w:p>
            <w:r>
              <w:t>chimeer: variabele delen van muis, constante delen mens</w:t>
            </w:r>
          </w:p>
        </w:tc>
        <w:tc>
          <w:tcPr>
            <w:tcW w:type="dxa" w:w="2880"/>
          </w:tcPr>
          <w:p>
            <w:r>
              <w:t>rituximab, cetuximab</w:t>
            </w:r>
          </w:p>
        </w:tc>
      </w:tr>
      <w:tr>
        <w:tc>
          <w:tcPr>
            <w:tcW w:type="dxa" w:w="2880"/>
          </w:tcPr>
          <w:p>
            <w:r>
              <w:t>zu</w:t>
            </w:r>
          </w:p>
        </w:tc>
        <w:tc>
          <w:tcPr>
            <w:tcW w:type="dxa" w:w="2880"/>
          </w:tcPr>
          <w:p>
            <w:r>
              <w:t>gehumaniseerd: grotendeels menselijk, alleen bindingsregio’s uit de muis</w:t>
            </w:r>
          </w:p>
        </w:tc>
        <w:tc>
          <w:tcPr>
            <w:tcW w:type="dxa" w:w="2880"/>
          </w:tcPr>
          <w:p>
            <w:r>
              <w:t>pertuzumab, alemtuzumab, pembrolizumab</w:t>
            </w:r>
          </w:p>
        </w:tc>
      </w:tr>
      <w:tr>
        <w:tc>
          <w:tcPr>
            <w:tcW w:type="dxa" w:w="2880"/>
          </w:tcPr>
          <w:p>
            <w:r>
              <w:t>u</w:t>
            </w:r>
          </w:p>
        </w:tc>
        <w:tc>
          <w:tcPr>
            <w:tcW w:type="dxa" w:w="2880"/>
          </w:tcPr>
          <w:p>
            <w:r>
              <w:t>volledig humaan</w:t>
            </w:r>
          </w:p>
        </w:tc>
        <w:tc>
          <w:tcPr>
            <w:tcW w:type="dxa" w:w="2880"/>
          </w:tcPr>
          <w:p>
            <w:r>
              <w:t>golimumab</w:t>
            </w:r>
          </w:p>
        </w:tc>
      </w:tr>
      <w:tr>
        <w:tc>
          <w:tcPr>
            <w:tcW w:type="dxa" w:w="2880"/>
          </w:tcPr>
          <w:p>
            <w:r>
              <w:t>tu</w:t>
            </w:r>
          </w:p>
        </w:tc>
        <w:tc>
          <w:tcPr>
            <w:tcW w:type="dxa" w:w="2880"/>
          </w:tcPr>
          <w:p>
            <w:r>
              <w:t>staat voor antitumoractiviteit, dus immunomodulerend</w:t>
            </w:r>
          </w:p>
        </w:tc>
        <w:tc>
          <w:tcPr>
            <w:tcW w:type="dxa" w:w="2880"/>
          </w:tcPr>
          <w:p>
            <w:r>
              <w:t>toepassing in oncologie</w:t>
            </w:r>
          </w:p>
        </w:tc>
      </w:tr>
    </w:tbl>
    <w:p>
      <w:r>
        <w:t xml:space="preserve">Een </w:t>
      </w:r>
      <w:r>
        <w:rPr>
          <w:b/>
        </w:rPr>
        <w:t>chimeer</w:t>
      </w:r>
      <w:r>
        <w:t xml:space="preserve"> antistof heeft dus muis-variabele gebieden en een menselijk constant deel. Een </w:t>
      </w:r>
      <w:r>
        <w:rPr>
          <w:b/>
        </w:rPr>
        <w:t>gehumaniseerd</w:t>
      </w:r>
      <w:r>
        <w:t xml:space="preserve"> antistof is nog verder aangepast en lijkt al veel meer op een menselijk eiwit. Dat is gunstig, omdat de patiënt dan minder snel zelf antistoffen tegen het geneesmiddel maakt.</w:t>
      </w:r>
    </w:p>
    <w:p>
      <w:pPr>
        <w:pStyle w:val="Heading5"/>
      </w:pPr>
      <w:r>
        <w:t>Cytokineremmers</w:t>
      </w:r>
    </w:p>
    <w:p>
      <w:r>
        <w:t>Biologicals kunnen cytokinen op twee manieren remmen:</w:t>
      </w:r>
    </w:p>
    <w:p>
      <w:pPr>
        <w:pStyle w:val="ListNumber"/>
      </w:pPr>
      <w:r>
        <w:t xml:space="preserve">door een </w:t>
      </w:r>
      <w:r>
        <w:rPr>
          <w:b/>
        </w:rPr>
        <w:t>oplosbare receptor</w:t>
      </w:r>
      <w:r>
        <w:t xml:space="preserve"> aan te bieden die het cytokine wegvangt;</w:t>
      </w:r>
    </w:p>
    <w:p>
      <w:pPr>
        <w:pStyle w:val="ListNumber"/>
      </w:pPr>
      <w:r>
        <w:t xml:space="preserve">door een </w:t>
      </w:r>
      <w:r>
        <w:rPr>
          <w:b/>
        </w:rPr>
        <w:t>monoklonaal antilichaam</w:t>
      </w:r>
      <w:r>
        <w:t xml:space="preserve"> te geven dat het cytokine of de receptor blokkeert.</w:t>
      </w:r>
    </w:p>
    <w:p>
      <w:r>
        <w:t xml:space="preserve">De grootste successen zijn geboekt bij </w:t>
      </w:r>
      <w:r>
        <w:rPr>
          <w:b/>
        </w:rPr>
        <w:t>chronische ontstekingsziekten</w:t>
      </w:r>
      <w:r>
        <w:t>, zoals:</w:t>
      </w:r>
    </w:p>
    <w:p>
      <w:pPr>
        <w:pStyle w:val="ListBullet"/>
      </w:pPr>
      <w:r>
        <w:t>reumatoïde artritis,</w:t>
      </w:r>
    </w:p>
    <w:p>
      <w:pPr>
        <w:pStyle w:val="ListBullet"/>
      </w:pPr>
      <w:r>
        <w:t>psoriasis,</w:t>
      </w:r>
    </w:p>
    <w:p>
      <w:pPr>
        <w:pStyle w:val="ListBullet"/>
      </w:pPr>
      <w:r>
        <w:t>inflammatoire darmziekten zoals de ziekte van Crohn.</w:t>
      </w:r>
    </w:p>
    <w:p>
      <w:pPr>
        <w:pStyle w:val="Heading5"/>
      </w:pPr>
      <w:r>
        <w:t>Tabel 3. Belangrijke cytokinegerichte biologicals</w:t>
      </w:r>
    </w:p>
    <w:tbl>
      <w:tblPr>
        <w:tblStyle w:val="TableGrid"/>
        <w:tblW w:type="auto" w:w="0"/>
        <w:tblLook w:firstColumn="1" w:firstRow="1" w:lastColumn="0" w:lastRow="0" w:noHBand="0" w:noVBand="1" w:val="04A0"/>
      </w:tblPr>
      <w:tblGrid>
        <w:gridCol w:w="2880"/>
        <w:gridCol w:w="2880"/>
        <w:gridCol w:w="2880"/>
      </w:tblGrid>
      <w:tr>
        <w:tc>
          <w:tcPr>
            <w:tcW w:type="dxa" w:w="2880"/>
          </w:tcPr>
          <w:p>
            <w:r>
              <w:t>Middel/groep</w:t>
            </w:r>
          </w:p>
        </w:tc>
        <w:tc>
          <w:tcPr>
            <w:tcW w:type="dxa" w:w="2880"/>
          </w:tcPr>
          <w:p>
            <w:r>
              <w:t>Doelwit</w:t>
            </w:r>
          </w:p>
        </w:tc>
        <w:tc>
          <w:tcPr>
            <w:tcW w:type="dxa" w:w="2880"/>
          </w:tcPr>
          <w:p>
            <w:r>
              <w:t>Belangrijke toepassing</w:t>
            </w:r>
          </w:p>
        </w:tc>
      </w:tr>
      <w:tr>
        <w:tc>
          <w:tcPr>
            <w:tcW w:type="dxa" w:w="2880"/>
          </w:tcPr>
          <w:p>
            <w:r>
              <w:t>Infliximab</w:t>
            </w:r>
          </w:p>
        </w:tc>
        <w:tc>
          <w:tcPr>
            <w:tcW w:type="dxa" w:w="2880"/>
          </w:tcPr>
          <w:p>
            <w:r>
              <w:t>TNF-α, chimeer antilichaam</w:t>
            </w:r>
          </w:p>
        </w:tc>
        <w:tc>
          <w:tcPr>
            <w:tcW w:type="dxa" w:w="2880"/>
          </w:tcPr>
          <w:p>
            <w:r>
              <w:t>Reumatoïde artritis, psoriasis, Crohn</w:t>
            </w:r>
          </w:p>
        </w:tc>
      </w:tr>
      <w:tr>
        <w:tc>
          <w:tcPr>
            <w:tcW w:type="dxa" w:w="2880"/>
          </w:tcPr>
          <w:p>
            <w:r>
              <w:t>Adalimumab</w:t>
            </w:r>
          </w:p>
        </w:tc>
        <w:tc>
          <w:tcPr>
            <w:tcW w:type="dxa" w:w="2880"/>
          </w:tcPr>
          <w:p>
            <w:r>
              <w:t>TNF-α, gehumaniseerd antilichaam</w:t>
            </w:r>
          </w:p>
        </w:tc>
        <w:tc>
          <w:tcPr>
            <w:tcW w:type="dxa" w:w="2880"/>
          </w:tcPr>
          <w:p>
            <w:r>
              <w:t>Reumatoïde artritis, vooral bij onvoldoende effect van methotrexaat</w:t>
            </w:r>
          </w:p>
        </w:tc>
      </w:tr>
      <w:tr>
        <w:tc>
          <w:tcPr>
            <w:tcW w:type="dxa" w:w="2880"/>
          </w:tcPr>
          <w:p>
            <w:r>
              <w:t>Etanercept</w:t>
            </w:r>
          </w:p>
        </w:tc>
        <w:tc>
          <w:tcPr>
            <w:tcW w:type="dxa" w:w="2880"/>
          </w:tcPr>
          <w:p>
            <w:r>
              <w:t>Oplosbare TNF-receptor gekoppeld aan Fc-fragment</w:t>
            </w:r>
          </w:p>
        </w:tc>
        <w:tc>
          <w:tcPr>
            <w:tcW w:type="dxa" w:w="2880"/>
          </w:tcPr>
          <w:p>
            <w:r>
              <w:t>Reumatoïde artritis</w:t>
            </w:r>
          </w:p>
        </w:tc>
      </w:tr>
      <w:tr>
        <w:tc>
          <w:tcPr>
            <w:tcW w:type="dxa" w:w="2880"/>
          </w:tcPr>
          <w:p>
            <w:r>
              <w:t>Anakinra</w:t>
            </w:r>
          </w:p>
        </w:tc>
        <w:tc>
          <w:tcPr>
            <w:tcW w:type="dxa" w:w="2880"/>
          </w:tcPr>
          <w:p>
            <w:r>
              <w:t>IL-1-receptorantagonist</w:t>
            </w:r>
          </w:p>
        </w:tc>
        <w:tc>
          <w:tcPr>
            <w:tcW w:type="dxa" w:w="2880"/>
          </w:tcPr>
          <w:p>
            <w:r>
              <w:t>Ontstekingsziekten, vooral bij onvoldoende respons op klassieke middelen</w:t>
            </w:r>
          </w:p>
        </w:tc>
      </w:tr>
      <w:tr>
        <w:tc>
          <w:tcPr>
            <w:tcW w:type="dxa" w:w="2880"/>
          </w:tcPr>
          <w:p>
            <w:r>
              <w:t>Tocilizumab</w:t>
            </w:r>
          </w:p>
        </w:tc>
        <w:tc>
          <w:tcPr>
            <w:tcW w:type="dxa" w:w="2880"/>
          </w:tcPr>
          <w:p>
            <w:r>
              <w:t>IL-6</w:t>
            </w:r>
          </w:p>
        </w:tc>
        <w:tc>
          <w:tcPr>
            <w:tcW w:type="dxa" w:w="2880"/>
          </w:tcPr>
          <w:p>
            <w:r>
              <w:t>Reumatoïde artritis; ook gebruikt om overmatige inflammatie te remmen, bijvoorbeeld bij ernstige COVID-19</w:t>
            </w:r>
          </w:p>
        </w:tc>
      </w:tr>
    </w:tbl>
    <w:p>
      <w:r>
        <w:t xml:space="preserve">TNF-remming is klinisch belangrijk. </w:t>
      </w:r>
      <w:r>
        <w:rPr>
          <w:b/>
        </w:rPr>
        <w:t>Infliximab</w:t>
      </w:r>
      <w:r>
        <w:t xml:space="preserve"> neutraliseert TNF-α en helpt ook tegen progressie van bot- en kraakbeendestructie bij reumatoïde artritis. </w:t>
      </w:r>
      <w:r>
        <w:rPr>
          <w:b/>
        </w:rPr>
        <w:t>Adalimumab</w:t>
      </w:r>
      <w:r>
        <w:t xml:space="preserve"> werkt vergelijkbaar en is een gehumaniseerd anti-TNF-middel. </w:t>
      </w:r>
      <w:r>
        <w:rPr>
          <w:b/>
        </w:rPr>
        <w:t>Etanercept</w:t>
      </w:r>
      <w:r>
        <w:t xml:space="preserve"> bestaat uit een TNF-receptor gekoppeld aan een Fc-fragment van IgG; daardoor heeft het een langere halfwaardetijd.</w:t>
      </w:r>
    </w:p>
    <w:p>
      <w:r>
        <w:t xml:space="preserve">Bij deze middelen moet je wel denken aan een verhoogd </w:t>
      </w:r>
      <w:r>
        <w:rPr>
          <w:b/>
        </w:rPr>
        <w:t>infectierisico</w:t>
      </w:r>
      <w:r>
        <w:t xml:space="preserve">, vooral op </w:t>
      </w:r>
      <w:r>
        <w:rPr>
          <w:b/>
        </w:rPr>
        <w:t>mycobacteriële infecties</w:t>
      </w:r>
      <w:r>
        <w:t>, die ernstig tot fataal kunnen verlopen. Bovendien kunnen patiënten op termijn zelf antistoffen tegen de toegediende antilichamen vormen, waardoor de werking afneemt.</w:t>
      </w:r>
    </w:p>
    <w:p>
      <w:r>
        <w:rPr>
          <w:b/>
        </w:rPr>
        <w:t>Aandachtspunt:</w:t>
      </w:r>
      <w:r>
        <w:t xml:space="preserve"> waarom zijn cytokineremmers effectief bij chronische ontstekingsziekten?  </w:t>
        <w:br/>
      </w:r>
      <w:r>
        <w:rPr>
          <w:b/>
        </w:rPr>
        <w:t>Antwoord:</w:t>
      </w:r>
      <w:r>
        <w:t xml:space="preserve"> omdat ze heel gericht de cytokinen blokkeren die de ontstekingscascade in stand houden.</w:t>
      </w:r>
    </w:p>
    <w:p>
      <w:pPr>
        <w:pStyle w:val="Heading5"/>
      </w:pPr>
      <w:r>
        <w:t>JAK-remmers</w:t>
      </w:r>
    </w:p>
    <w:p>
      <w:r>
        <w:t xml:space="preserve">Een andere gerichte aanpak is remming van de </w:t>
      </w:r>
      <w:r>
        <w:rPr>
          <w:b/>
        </w:rPr>
        <w:t>JAK-STAT-route</w:t>
      </w:r>
      <w:r>
        <w:t xml:space="preserve">. Veel cytokinen en groeifactoren signaleren via deze route. Na cytokinebinding dimeriseert de receptor en worden </w:t>
      </w:r>
      <w:r>
        <w:rPr>
          <w:b/>
        </w:rPr>
        <w:t>JAK-kinasen</w:t>
      </w:r>
      <w:r>
        <w:t xml:space="preserve"> geactiveerd. Er zijn vier JAK’s: </w:t>
      </w:r>
      <w:r>
        <w:rPr>
          <w:b/>
        </w:rPr>
        <w:t>JAK1, JAK2, JAK3 en TYK2</w:t>
      </w:r>
      <w:r>
        <w:t>.</w:t>
      </w:r>
    </w:p>
    <w:p>
      <w:r>
        <w:rPr>
          <w:b/>
        </w:rPr>
        <w:t>JAK-remmers</w:t>
      </w:r>
      <w:r>
        <w:t xml:space="preserve"> zijn kleine, synthetische moleculen die selectief aan één of meer JAK’s binden. Ze worden gebruikt bij onder andere:</w:t>
      </w:r>
    </w:p>
    <w:p>
      <w:pPr>
        <w:pStyle w:val="ListBullet"/>
      </w:pPr>
      <w:r>
        <w:rPr>
          <w:b/>
        </w:rPr>
        <w:t>reumatoïde artritis</w:t>
      </w:r>
      <w:r>
        <w:t>;</w:t>
      </w:r>
    </w:p>
    <w:p>
      <w:pPr>
        <w:pStyle w:val="ListBullet"/>
      </w:pPr>
      <w:r>
        <w:rPr>
          <w:b/>
        </w:rPr>
        <w:t>constitutioneel eczeem</w:t>
      </w:r>
      <w:r>
        <w:t>;</w:t>
      </w:r>
    </w:p>
    <w:p>
      <w:pPr>
        <w:pStyle w:val="ListBullet"/>
      </w:pPr>
      <w:r>
        <w:t>sommige andere auto-immuunziekten en ook bepaalde vormen van kanker.</w:t>
      </w:r>
    </w:p>
    <w:p>
      <w:r>
        <w:t>Voorbeelden:</w:t>
      </w:r>
    </w:p>
    <w:p>
      <w:pPr>
        <w:pStyle w:val="ListBullet"/>
      </w:pPr>
      <w:r>
        <w:rPr>
          <w:b/>
        </w:rPr>
        <w:t>baricitinib</w:t>
      </w:r>
      <w:r>
        <w:t>: remt JAK1 en JAK2;</w:t>
      </w:r>
    </w:p>
    <w:p>
      <w:pPr>
        <w:pStyle w:val="ListBullet"/>
      </w:pPr>
      <w:r>
        <w:rPr>
          <w:b/>
        </w:rPr>
        <w:t>tofacitinib</w:t>
      </w:r>
      <w:r>
        <w:t>: remt JAK3 en in mindere mate JAK1.</w:t>
      </w:r>
    </w:p>
    <w:p>
      <w:r>
        <w:t xml:space="preserve">Ze werken snel en kunnen oraal worden gegeven, maar geven door de brede remming van immuunactiviteit ook een </w:t>
      </w:r>
      <w:r>
        <w:rPr>
          <w:b/>
        </w:rPr>
        <w:t>hogere infectiegevoeligheid</w:t>
      </w:r>
      <w:r>
        <w:t>.</w:t>
      </w:r>
    </w:p>
    <w:p>
      <w:r>
        <w:t>---</w:t>
      </w:r>
    </w:p>
    <w:p>
      <w:pPr>
        <w:pStyle w:val="Heading4"/>
      </w:pPr>
      <w:r>
        <w:t>Immuunstimulatie bij kanker</w:t>
      </w:r>
    </w:p>
    <w:p>
      <w:r>
        <w:t xml:space="preserve">Bij kanker probeert men het immuunsysteem juist te versterken. De eerste benadering was met </w:t>
      </w:r>
      <w:r>
        <w:rPr>
          <w:b/>
        </w:rPr>
        <w:t>cytokinen</w:t>
      </w:r>
      <w:r>
        <w:t>.</w:t>
      </w:r>
    </w:p>
    <w:p>
      <w:pPr>
        <w:pStyle w:val="Heading5"/>
      </w:pPr>
      <w:r>
        <w:t>Cytokinetherapie</w:t>
      </w:r>
    </w:p>
    <w:p>
      <w:r>
        <w:t xml:space="preserve">De eerste toegelaten immunomodulator bij </w:t>
      </w:r>
      <w:r>
        <w:rPr>
          <w:b/>
        </w:rPr>
        <w:t>leukemie</w:t>
      </w:r>
      <w:r>
        <w:t xml:space="preserve"> en </w:t>
      </w:r>
      <w:r>
        <w:rPr>
          <w:b/>
        </w:rPr>
        <w:t>melanoom</w:t>
      </w:r>
      <w:r>
        <w:t xml:space="preserve"> was </w:t>
      </w:r>
      <w:r>
        <w:rPr>
          <w:b/>
        </w:rPr>
        <w:t>interferon-α</w:t>
      </w:r>
      <w:r>
        <w:t xml:space="preserve">. Er werd wel enige verbetering gezien in de progressievrije periode, maar geen effect op de uiteindelijke overleving. Later zijn ook andere cytokinen onderzocht, zoals </w:t>
      </w:r>
      <w:r>
        <w:rPr>
          <w:b/>
        </w:rPr>
        <w:t>IL-2</w:t>
      </w:r>
      <w:r>
        <w:t xml:space="preserve">, </w:t>
      </w:r>
      <w:r>
        <w:rPr>
          <w:b/>
        </w:rPr>
        <w:t>IL-12</w:t>
      </w:r>
      <w:r>
        <w:t xml:space="preserve">, </w:t>
      </w:r>
      <w:r>
        <w:rPr>
          <w:b/>
        </w:rPr>
        <w:t>IL-15</w:t>
      </w:r>
      <w:r>
        <w:t xml:space="preserve"> en </w:t>
      </w:r>
      <w:r>
        <w:rPr>
          <w:b/>
        </w:rPr>
        <w:t>IL-18</w:t>
      </w:r>
      <w:r>
        <w:t>, vooral bij melanoom, maar met beperkt succes.</w:t>
      </w:r>
    </w:p>
    <w:p>
      <w:r>
        <w:rPr>
          <w:b/>
        </w:rPr>
        <w:t>IL-2</w:t>
      </w:r>
      <w:r>
        <w:t xml:space="preserve"> heeft wel een plaats als adjuvante therapie bij cellulaire immunotherapie, maar als monotherapie is het succes beperkt.</w:t>
      </w:r>
    </w:p>
    <w:p>
      <w:pPr>
        <w:pStyle w:val="Heading5"/>
      </w:pPr>
      <w:r>
        <w:t>Immuun-checkpointinhibitie</w:t>
      </w:r>
    </w:p>
    <w:p>
      <w:r>
        <w:t>Tumorcellen kunnen ontsnappen aan de afweer door remmende signalen te gebruiken. Immuun-checkpoints zijn normale regelmechanismen van het immuunsysteem, maar tumorcellen maken daar misbruik van. Door deze rem te blokkeren, kan het immuunsysteem de tumor weer aanvallen.</w:t>
      </w:r>
    </w:p>
    <w:p>
      <w:r>
        <w:t>De belangrijkste checkpoints zijn:</w:t>
      </w:r>
    </w:p>
    <w:p>
      <w:pPr>
        <w:pStyle w:val="ListBullet"/>
      </w:pPr>
      <w:r>
        <w:rPr>
          <w:b/>
        </w:rPr>
        <w:t>CTLA-4</w:t>
      </w:r>
      <w:r>
        <w:t xml:space="preserve"> op T-lymfocyten;</w:t>
      </w:r>
    </w:p>
    <w:p>
      <w:pPr>
        <w:pStyle w:val="ListBullet"/>
      </w:pPr>
      <w:r>
        <w:rPr>
          <w:b/>
        </w:rPr>
        <w:t>PD-1</w:t>
      </w:r>
      <w:r>
        <w:t xml:space="preserve"> op T-lymfocyten;</w:t>
      </w:r>
    </w:p>
    <w:p>
      <w:pPr>
        <w:pStyle w:val="ListBullet"/>
      </w:pPr>
      <w:r>
        <w:rPr>
          <w:b/>
        </w:rPr>
        <w:t>PD-L1</w:t>
      </w:r>
      <w:r>
        <w:t xml:space="preserve"> op tumorcellen.</w:t>
      </w:r>
    </w:p>
    <w:p>
      <w:r>
        <w:t xml:space="preserve">CTLA-4 wordt tot expressie gebracht op geactiveerde T-cellen en bindt aan </w:t>
      </w:r>
      <w:r>
        <w:rPr>
          <w:b/>
        </w:rPr>
        <w:t>CD80/CD86</w:t>
      </w:r>
      <w:r>
        <w:t xml:space="preserve"> op APC’s. Dit remt de kostimulatie via CD28 en dus de activatie van T-cellen, vooral in perifere lymfoïde organen.</w:t>
      </w:r>
    </w:p>
    <w:p>
      <w:r>
        <w:t xml:space="preserve">PD-1 komt vooral tot expressie op </w:t>
      </w:r>
      <w:r>
        <w:rPr>
          <w:b/>
        </w:rPr>
        <w:t>effector-T-cellen</w:t>
      </w:r>
      <w:r>
        <w:t xml:space="preserve">. Binding aan </w:t>
      </w:r>
      <w:r>
        <w:rPr>
          <w:b/>
        </w:rPr>
        <w:t>PD-L1</w:t>
      </w:r>
      <w:r>
        <w:t xml:space="preserve"> remt dan de effectorfunctie van de T-cel, vooral in weefsels.</w:t>
      </w:r>
    </w:p>
    <w:p>
      <w:pPr>
        <w:pStyle w:val="Heading5"/>
      </w:pPr>
      <w:r>
        <w:t>Tabel 4. Belangrijkste checkpointremmers</w:t>
      </w:r>
    </w:p>
    <w:tbl>
      <w:tblPr>
        <w:tblStyle w:val="TableGrid"/>
        <w:tblW w:type="auto" w:w="0"/>
        <w:tblLook w:firstColumn="1" w:firstRow="1" w:lastColumn="0" w:lastRow="0" w:noHBand="0" w:noVBand="1" w:val="04A0"/>
      </w:tblPr>
      <w:tblGrid>
        <w:gridCol w:w="2880"/>
        <w:gridCol w:w="2880"/>
        <w:gridCol w:w="2880"/>
      </w:tblGrid>
      <w:tr>
        <w:tc>
          <w:tcPr>
            <w:tcW w:type="dxa" w:w="2880"/>
          </w:tcPr>
          <w:p>
            <w:r>
              <w:t>Doelwit</w:t>
            </w:r>
          </w:p>
        </w:tc>
        <w:tc>
          <w:tcPr>
            <w:tcW w:type="dxa" w:w="2880"/>
          </w:tcPr>
          <w:p>
            <w:r>
              <w:t>Voorbeeldmiddelen</w:t>
            </w:r>
          </w:p>
        </w:tc>
        <w:tc>
          <w:tcPr>
            <w:tcW w:type="dxa" w:w="2880"/>
          </w:tcPr>
          <w:p>
            <w:r>
              <w:t>Effect</w:t>
            </w:r>
          </w:p>
        </w:tc>
      </w:tr>
      <w:tr>
        <w:tc>
          <w:tcPr>
            <w:tcW w:type="dxa" w:w="2880"/>
          </w:tcPr>
          <w:p>
            <w:r>
              <w:t>CTLA-4</w:t>
            </w:r>
          </w:p>
        </w:tc>
        <w:tc>
          <w:tcPr>
            <w:tcW w:type="dxa" w:w="2880"/>
          </w:tcPr>
          <w:p>
            <w:r>
              <w:t>ipilimumab, tremelimumab</w:t>
            </w:r>
          </w:p>
        </w:tc>
        <w:tc>
          <w:tcPr>
            <w:tcW w:type="dxa" w:w="2880"/>
          </w:tcPr>
          <w:p>
            <w:r>
              <w:t>Haalt de rem van T-celactivatie af</w:t>
            </w:r>
          </w:p>
        </w:tc>
      </w:tr>
      <w:tr>
        <w:tc>
          <w:tcPr>
            <w:tcW w:type="dxa" w:w="2880"/>
          </w:tcPr>
          <w:p>
            <w:r>
              <w:t>PD-1</w:t>
            </w:r>
          </w:p>
        </w:tc>
        <w:tc>
          <w:tcPr>
            <w:tcW w:type="dxa" w:w="2880"/>
          </w:tcPr>
          <w:p>
            <w:r>
              <w:t>nivolumab, pembrolizumab</w:t>
            </w:r>
          </w:p>
        </w:tc>
        <w:tc>
          <w:tcPr>
            <w:tcW w:type="dxa" w:w="2880"/>
          </w:tcPr>
          <w:p>
            <w:r>
              <w:t>Versterkt T-celactiviteit tegen tumorcellen</w:t>
            </w:r>
          </w:p>
        </w:tc>
      </w:tr>
      <w:tr>
        <w:tc>
          <w:tcPr>
            <w:tcW w:type="dxa" w:w="2880"/>
          </w:tcPr>
          <w:p>
            <w:r>
              <w:t>PD-L1</w:t>
            </w:r>
          </w:p>
        </w:tc>
        <w:tc>
          <w:tcPr>
            <w:tcW w:type="dxa" w:w="2880"/>
          </w:tcPr>
          <w:p>
            <w:r>
              <w:t>atezolizumab, durvalumab</w:t>
            </w:r>
          </w:p>
        </w:tc>
        <w:tc>
          <w:tcPr>
            <w:tcW w:type="dxa" w:w="2880"/>
          </w:tcPr>
          <w:p>
            <w:r>
              <w:t>Blokkeert de remmende interactie met PD-1</w:t>
            </w:r>
          </w:p>
        </w:tc>
      </w:tr>
    </w:tbl>
    <w:p>
      <w:r>
        <w:t xml:space="preserve">Deze behandeling is een belangrijke doorbraak in de oncologie en wordt gebruikt bij inmiddels vele maligniteiten. Combinatietherapie geeft vaak betere resultaten dan monotherapie. Een belangrijk punt is dat checkpointremmers vooral de </w:t>
      </w:r>
      <w:r>
        <w:rPr>
          <w:b/>
        </w:rPr>
        <w:t>eigen T-cellen van de patiënt</w:t>
      </w:r>
      <w:r>
        <w:t xml:space="preserve"> activeren.</w:t>
      </w:r>
    </w:p>
    <w:p>
      <w:pPr>
        <w:pStyle w:val="Heading5"/>
      </w:pPr>
      <w:r>
        <w:t>Bijwerkingen van checkpointremming</w:t>
      </w:r>
    </w:p>
    <w:p>
      <w:r>
        <w:t xml:space="preserve">De bijwerkingen ontstaan doordat de normale rem van het immuunsysteem verdwijnt. Daardoor kunnen </w:t>
      </w:r>
      <w:r>
        <w:rPr>
          <w:b/>
        </w:rPr>
        <w:t>auto-immuunachtige</w:t>
      </w:r>
      <w:r>
        <w:t xml:space="preserve"> ontstekingen optreden. Vroege bijwerkingen zijn bijvoorbeeld:</w:t>
      </w:r>
    </w:p>
    <w:p>
      <w:pPr>
        <w:pStyle w:val="ListBullet"/>
      </w:pPr>
      <w:r>
        <w:rPr>
          <w:b/>
        </w:rPr>
        <w:t>dermatitis</w:t>
      </w:r>
      <w:r>
        <w:t>,</w:t>
      </w:r>
    </w:p>
    <w:p>
      <w:pPr>
        <w:pStyle w:val="ListBullet"/>
      </w:pPr>
      <w:r>
        <w:rPr>
          <w:b/>
        </w:rPr>
        <w:t>colitis</w:t>
      </w:r>
      <w:r>
        <w:t>,</w:t>
      </w:r>
    </w:p>
    <w:p>
      <w:pPr>
        <w:pStyle w:val="ListBullet"/>
      </w:pPr>
      <w:r>
        <w:rPr>
          <w:b/>
        </w:rPr>
        <w:t>hepatitis</w:t>
      </w:r>
      <w:r>
        <w:t>,</w:t>
      </w:r>
    </w:p>
    <w:p>
      <w:pPr>
        <w:pStyle w:val="ListBullet"/>
      </w:pPr>
      <w:r>
        <w:rPr>
          <w:b/>
        </w:rPr>
        <w:t>hypofysitis</w:t>
      </w:r>
      <w:r>
        <w:t>.</w:t>
      </w:r>
    </w:p>
    <w:p>
      <w:r>
        <w:t>Later kunnen ook ontstaan:</w:t>
      </w:r>
    </w:p>
    <w:p>
      <w:pPr>
        <w:pStyle w:val="ListBullet"/>
      </w:pPr>
      <w:r>
        <w:rPr>
          <w:b/>
        </w:rPr>
        <w:t>diabetes type 1</w:t>
      </w:r>
      <w:r>
        <w:t>,</w:t>
      </w:r>
    </w:p>
    <w:p>
      <w:pPr>
        <w:pStyle w:val="ListBullet"/>
      </w:pPr>
      <w:r>
        <w:rPr>
          <w:b/>
        </w:rPr>
        <w:t>myositis</w:t>
      </w:r>
      <w:r>
        <w:t>,</w:t>
      </w:r>
    </w:p>
    <w:p>
      <w:pPr>
        <w:pStyle w:val="ListBullet"/>
      </w:pPr>
      <w:r>
        <w:rPr>
          <w:b/>
        </w:rPr>
        <w:t>myocarditis</w:t>
      </w:r>
      <w:r>
        <w:t>,</w:t>
      </w:r>
    </w:p>
    <w:p>
      <w:pPr>
        <w:pStyle w:val="ListBullet"/>
      </w:pPr>
      <w:r>
        <w:rPr>
          <w:b/>
        </w:rPr>
        <w:t>vasculitis</w:t>
      </w:r>
      <w:r>
        <w:t>,</w:t>
      </w:r>
    </w:p>
    <w:p>
      <w:pPr>
        <w:pStyle w:val="ListBullet"/>
      </w:pPr>
      <w:r>
        <w:rPr>
          <w:b/>
        </w:rPr>
        <w:t>Sjögren-syndroom</w:t>
      </w:r>
      <w:r>
        <w:t>,</w:t>
      </w:r>
    </w:p>
    <w:p>
      <w:pPr>
        <w:pStyle w:val="ListBullet"/>
      </w:pPr>
      <w:r>
        <w:rPr>
          <w:b/>
        </w:rPr>
        <w:t>pemfigus</w:t>
      </w:r>
      <w:r>
        <w:t>.</w:t>
      </w:r>
    </w:p>
    <w:p>
      <w:r>
        <w:t xml:space="preserve">Behandeling met </w:t>
      </w:r>
      <w:r>
        <w:rPr>
          <w:b/>
        </w:rPr>
        <w:t>anti-CTLA-4</w:t>
      </w:r>
      <w:r>
        <w:t xml:space="preserve"> geeft meer en ernstigere bijwerkingen dan PD-1- of PD-L1-blokkade, omdat ook </w:t>
      </w:r>
      <w:r>
        <w:rPr>
          <w:b/>
        </w:rPr>
        <w:t>T-regulatoire cellen</w:t>
      </w:r>
      <w:r>
        <w:t xml:space="preserve"> worden uitgeschakeld.</w:t>
      </w:r>
    </w:p>
    <w:p>
      <w:pPr>
        <w:pStyle w:val="Heading5"/>
      </w:pPr>
      <w:r>
        <w:t>Weerstand tegen checkpointtherapie</w:t>
      </w:r>
    </w:p>
    <w:p>
      <w:r>
        <w:t>Checkpointremming werkt niet altijd. Mogelijke oorzaken van resistentie zijn:</w:t>
      </w:r>
    </w:p>
    <w:p>
      <w:pPr>
        <w:pStyle w:val="ListBullet"/>
      </w:pPr>
      <w:r>
        <w:rPr>
          <w:b/>
        </w:rPr>
        <w:t>onvoldoende infiltratie van cytotoxische T-lymfocyten</w:t>
      </w:r>
      <w:r>
        <w:t xml:space="preserve"> in de tumor;</w:t>
      </w:r>
    </w:p>
    <w:p>
      <w:pPr>
        <w:pStyle w:val="ListBullet"/>
      </w:pPr>
      <w:r>
        <w:t xml:space="preserve">activatie van andere </w:t>
      </w:r>
      <w:r>
        <w:rPr>
          <w:b/>
        </w:rPr>
        <w:t>immuunsuppressieve processen</w:t>
      </w:r>
      <w:r>
        <w:t xml:space="preserve"> in de tumormicro-omgeving;</w:t>
      </w:r>
    </w:p>
    <w:p>
      <w:pPr>
        <w:pStyle w:val="ListBullet"/>
      </w:pPr>
      <w:r>
        <w:rPr>
          <w:b/>
        </w:rPr>
        <w:t>ontbreken van tumor-geassocieerde antigenen</w:t>
      </w:r>
      <w:r>
        <w:t>;</w:t>
      </w:r>
    </w:p>
    <w:p>
      <w:pPr>
        <w:pStyle w:val="ListBullet"/>
      </w:pPr>
      <w:r>
        <w:t>het onvermogen van geïnfiltreerde T-cellen om goed geactiveerd te worden.</w:t>
      </w:r>
    </w:p>
    <w:p>
      <w:r>
        <w:rPr>
          <w:b/>
        </w:rPr>
        <w:t>Aandachtspunt:</w:t>
      </w:r>
      <w:r>
        <w:t xml:space="preserve"> waarom werken checkpointremmers zo goed bij kanker?  </w:t>
        <w:br/>
      </w:r>
      <w:r>
        <w:rPr>
          <w:b/>
        </w:rPr>
        <w:t>Antwoord:</w:t>
      </w:r>
      <w:r>
        <w:t xml:space="preserve"> omdat ze de rem van geactiveerde T-cellen weghalen, zodat deze tumorcellen weer kunnen herkennen en vernietigen.</w:t>
      </w:r>
    </w:p>
    <w:p>
      <w:r>
        <w:t>---</w:t>
      </w:r>
    </w:p>
    <w:p>
      <w:pPr>
        <w:pStyle w:val="Heading4"/>
      </w:pPr>
      <w:r>
        <w:t>CAR-T-celtherapie</w:t>
      </w:r>
    </w:p>
    <w:p>
      <w:r>
        <w:t xml:space="preserve">Een andere recente vorm van kankerimmunotherapie is </w:t>
      </w:r>
      <w:r>
        <w:rPr>
          <w:b/>
        </w:rPr>
        <w:t>CAR-T-celtherapie</w:t>
      </w:r>
      <w:r>
        <w:t xml:space="preserve">. Hierbij worden T-lymfocyten van de patiënt genetisch aangepast zodat ze een </w:t>
      </w:r>
      <w:r>
        <w:rPr>
          <w:b/>
        </w:rPr>
        <w:t>chimeere antigeenreceptor</w:t>
      </w:r>
      <w:r>
        <w:t xml:space="preserve"> dragen.</w:t>
      </w:r>
    </w:p>
    <w:p>
      <w:r>
        <w:t>Die receptor bestaat uit:</w:t>
      </w:r>
    </w:p>
    <w:p>
      <w:pPr>
        <w:pStyle w:val="ListBullet"/>
      </w:pPr>
      <w:r>
        <w:t xml:space="preserve">een extracellulair </w:t>
      </w:r>
      <w:r>
        <w:rPr>
          <w:b/>
        </w:rPr>
        <w:t>antigeenherkenningsdeel</w:t>
      </w:r>
      <w:r>
        <w:t>,</w:t>
      </w:r>
    </w:p>
    <w:p>
      <w:pPr>
        <w:pStyle w:val="ListBullet"/>
      </w:pPr>
      <w:r>
        <w:t>een transmembraandeel,</w:t>
      </w:r>
    </w:p>
    <w:p>
      <w:pPr>
        <w:pStyle w:val="ListBullet"/>
      </w:pPr>
      <w:r>
        <w:t xml:space="preserve">een intracellulair signaaldeel met </w:t>
      </w:r>
      <w:r>
        <w:rPr>
          <w:b/>
        </w:rPr>
        <w:t>T-celactiverende domeinen</w:t>
      </w:r>
      <w:r>
        <w:t>,</w:t>
      </w:r>
    </w:p>
    <w:p>
      <w:pPr>
        <w:pStyle w:val="ListBullet"/>
      </w:pPr>
      <w:r>
        <w:t xml:space="preserve">vaak ook een kostimulerend domein zoals </w:t>
      </w:r>
      <w:r>
        <w:rPr>
          <w:b/>
        </w:rPr>
        <w:t>CD28</w:t>
      </w:r>
      <w:r>
        <w:t xml:space="preserve"> of </w:t>
      </w:r>
      <w:r>
        <w:rPr>
          <w:b/>
        </w:rPr>
        <w:t>4-1BB</w:t>
      </w:r>
      <w:r>
        <w:t>,</w:t>
      </w:r>
    </w:p>
    <w:p>
      <w:pPr>
        <w:pStyle w:val="ListBullet"/>
      </w:pPr>
      <w:r>
        <w:t xml:space="preserve">en het signaaldomein </w:t>
      </w:r>
      <w:r>
        <w:rPr>
          <w:b/>
        </w:rPr>
        <w:t>CD3ζ</w:t>
      </w:r>
      <w:r>
        <w:t>.</w:t>
      </w:r>
    </w:p>
    <w:p>
      <w:r>
        <w:t>Het grote voordeel is dat CAR-T-cellen:</w:t>
      </w:r>
    </w:p>
    <w:p>
      <w:pPr>
        <w:pStyle w:val="ListNumber"/>
      </w:pPr>
      <w:r>
        <w:t>een gewenste antigeenspecificiteit hebben;</w:t>
      </w:r>
    </w:p>
    <w:p>
      <w:pPr>
        <w:pStyle w:val="ListNumber"/>
      </w:pPr>
      <w:r>
        <w:t xml:space="preserve">hun antigeen kunnen herkennen </w:t>
      </w:r>
      <w:r>
        <w:rPr>
          <w:b/>
        </w:rPr>
        <w:t>zonder MHC-presentatie</w:t>
      </w:r>
      <w:r>
        <w:t>.</w:t>
      </w:r>
    </w:p>
    <w:p>
      <w:r>
        <w:t xml:space="preserve">Daarmee combineren ze eigenschappen van </w:t>
      </w:r>
      <w:r>
        <w:rPr>
          <w:b/>
        </w:rPr>
        <w:t>B-cellen</w:t>
      </w:r>
      <w:r>
        <w:t xml:space="preserve"> en </w:t>
      </w:r>
      <w:r>
        <w:rPr>
          <w:b/>
        </w:rPr>
        <w:t>T-cellen</w:t>
      </w:r>
      <w:r>
        <w:t>.</w:t>
      </w:r>
    </w:p>
    <w:p>
      <w:r>
        <w:t xml:space="preserve">De procedure duurt ongeveer </w:t>
      </w:r>
      <w:r>
        <w:rPr>
          <w:b/>
        </w:rPr>
        <w:t>drie weken</w:t>
      </w:r>
      <w:r>
        <w:t>:</w:t>
      </w:r>
    </w:p>
    <w:p>
      <w:pPr>
        <w:pStyle w:val="ListNumber"/>
      </w:pPr>
      <w:r>
        <w:t>bloed afnemen en mononucleaire cellen zuiveren;</w:t>
      </w:r>
    </w:p>
    <w:p>
      <w:pPr>
        <w:pStyle w:val="ListNumber"/>
      </w:pPr>
      <w:r>
        <w:t>T-lymfocyten isoleren;</w:t>
      </w:r>
    </w:p>
    <w:p>
      <w:pPr>
        <w:pStyle w:val="ListNumber"/>
      </w:pPr>
      <w:r>
        <w:t>de T-cellen ex vivo uitbreiden en activeren;</w:t>
      </w:r>
    </w:p>
    <w:p>
      <w:pPr>
        <w:pStyle w:val="ListNumber"/>
      </w:pPr>
      <w:r>
        <w:t>CAR-T-cellen voorbereiden;</w:t>
      </w:r>
    </w:p>
    <w:p>
      <w:pPr>
        <w:pStyle w:val="ListNumber"/>
      </w:pPr>
      <w:r>
        <w:t>infusie van de CAR-T-cellen.</w:t>
      </w:r>
    </w:p>
    <w:p>
      <w:r>
        <w:t xml:space="preserve">CAR-T wordt vooral gebruikt bij </w:t>
      </w:r>
      <w:r>
        <w:rPr>
          <w:b/>
        </w:rPr>
        <w:t>B-cellymfoom</w:t>
      </w:r>
      <w:r>
        <w:t xml:space="preserve"> en </w:t>
      </w:r>
      <w:r>
        <w:rPr>
          <w:b/>
        </w:rPr>
        <w:t>B-celleukemie</w:t>
      </w:r>
      <w:r>
        <w:t xml:space="preserve">, meestal met een </w:t>
      </w:r>
      <w:r>
        <w:rPr>
          <w:b/>
        </w:rPr>
        <w:t>CD19-CAR</w:t>
      </w:r>
      <w:r>
        <w:t>. Bij patiënten met een recidief of refractaire tumor, bij wie andere behandelingen niet meer werken, kan deze therapie tot volledige remissie leiden. De behandeling is duur en wordt in Nederland nog op relatief beperkte schaal toegepast.</w:t>
      </w:r>
    </w:p>
    <w:p>
      <w:pPr>
        <w:pStyle w:val="Heading5"/>
      </w:pPr>
      <w:r>
        <w:t>Bijwerkingen van CAR-T</w:t>
      </w:r>
    </w:p>
    <w:p>
      <w:r>
        <w:t xml:space="preserve">De belangrijkste bijwerking is het </w:t>
      </w:r>
      <w:r>
        <w:rPr>
          <w:b/>
        </w:rPr>
        <w:t>Cytokine Release Syndrome (CRS)</w:t>
      </w:r>
      <w:r>
        <w:t>. Dit ontstaat door massale activatie van de CAR-T-cellen, vooral als het doeltantigeen niet volledig tumorspecifiek is en ook op normaal weefsel voorkomt. De CAR-T-cellen produceren dan veel pro-inflammatoire cytokinen.</w:t>
      </w:r>
    </w:p>
    <w:p>
      <w:r>
        <w:t>Klinisch zie je onder andere:</w:t>
      </w:r>
    </w:p>
    <w:p>
      <w:pPr>
        <w:pStyle w:val="ListBullet"/>
      </w:pPr>
      <w:r>
        <w:t>hoge koorts,</w:t>
      </w:r>
    </w:p>
    <w:p>
      <w:pPr>
        <w:pStyle w:val="ListBullet"/>
      </w:pPr>
      <w:r>
        <w:t>hyperinflammatie,</w:t>
      </w:r>
    </w:p>
    <w:p>
      <w:pPr>
        <w:pStyle w:val="ListBullet"/>
      </w:pPr>
      <w:r>
        <w:t>verhoogd ferritine,</w:t>
      </w:r>
    </w:p>
    <w:p>
      <w:pPr>
        <w:pStyle w:val="ListBullet"/>
      </w:pPr>
      <w:r>
        <w:t>aanhoudende cytopenieën,</w:t>
      </w:r>
    </w:p>
    <w:p>
      <w:pPr>
        <w:pStyle w:val="ListBullet"/>
      </w:pPr>
      <w:r>
        <w:t>stollingsstoornissen,</w:t>
      </w:r>
    </w:p>
    <w:p>
      <w:pPr>
        <w:pStyle w:val="ListBullet"/>
      </w:pPr>
      <w:r>
        <w:t>leverfunctiestoornissen.</w:t>
      </w:r>
    </w:p>
    <w:p>
      <w:r>
        <w:t xml:space="preserve">CRS begint meestal binnen </w:t>
      </w:r>
      <w:r>
        <w:rPr>
          <w:b/>
        </w:rPr>
        <w:t>twee dagen</w:t>
      </w:r>
      <w:r>
        <w:t xml:space="preserve"> na de start en piekt rond </w:t>
      </w:r>
      <w:r>
        <w:rPr>
          <w:b/>
        </w:rPr>
        <w:t>één tot twee weken</w:t>
      </w:r>
      <w:r>
        <w:t xml:space="preserve">. </w:t>
      </w:r>
      <w:r>
        <w:rPr>
          <w:b/>
        </w:rPr>
        <w:t>Tocilizumab</w:t>
      </w:r>
      <w:r>
        <w:t>, een anti-IL-6-receptorblokker, is toegestaan als behandeling van CRS.</w:t>
      </w:r>
    </w:p>
    <w:p>
      <w:r>
        <w:rPr>
          <w:b/>
        </w:rPr>
        <w:t>Aandachtspunt:</w:t>
      </w:r>
      <w:r>
        <w:t xml:space="preserve"> waarom kan CAR-T CRS geven?  </w:t>
        <w:br/>
      </w:r>
      <w:r>
        <w:rPr>
          <w:b/>
        </w:rPr>
        <w:t>Antwoord:</w:t>
      </w:r>
      <w:r>
        <w:t xml:space="preserve"> omdat de gemodificeerde T-cellen massaal geactiveerd raken en grote hoeveelheden cytokinen vrijzetten.</w:t>
      </w:r>
    </w:p>
    <w:p>
      <w:r>
        <w:t>---</w:t>
      </w:r>
    </w:p>
    <w:p>
      <w:pPr>
        <w:pStyle w:val="Heading4"/>
      </w:pPr>
      <w:r>
        <w:t>Samenvatting</w:t>
      </w:r>
    </w:p>
    <w:p>
      <w:r>
        <w:t xml:space="preserve">Immuunmodulatie draait om twee grote principes: </w:t>
      </w:r>
      <w:r>
        <w:rPr>
          <w:b/>
        </w:rPr>
        <w:t>remmen</w:t>
      </w:r>
      <w:r>
        <w:t xml:space="preserve"> bij overactiviteit van het immuunsysteem en </w:t>
      </w:r>
      <w:r>
        <w:rPr>
          <w:b/>
        </w:rPr>
        <w:t>stimuleren</w:t>
      </w:r>
      <w:r>
        <w:t xml:space="preserve"> bij onvoldoende antitumoractiviteit. Immuunsuppressiva worden vooral gebruikt bij transplantatie en auto-immuunziekten. Klassieke middelen zoals corticosteroïden en calcineurineremmers remmen de functie van rijpe immuuncellen, terwijl azathioprine, mycofenolaatmofetil en cyclofosfamide vooral de celgroei of DNA-synthese beïnvloeden. Biologicals werken gerichter, bijvoorbeeld tegen cytokinen zoals TNF, IL-1 en IL-6, of via JAK-remming. In de oncologie zijn immuuncheckpointremmers en CAR-T-cellen belangrijke nieuwe vormen van immuunstimulatie. Hun kracht zit in het versterken van de T-celrespons, maar juist daardoor kunnen ook duidelijke immuungerelateerde bijwerkingen ontstaan.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