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B91E" w14:textId="1621969B" w:rsidR="00FF0C1F" w:rsidRDefault="00E9675D" w:rsidP="00C6557F">
      <w:pPr>
        <w:pStyle w:val="Footerdetails"/>
        <w:outlineLvl w:val="0"/>
      </w:pPr>
      <w:sdt>
        <w:sdtPr>
          <w:alias w:val="Click on the down arrow to select a date"/>
          <w:tag w:val="Email letter date"/>
          <w:id w:val="1401249387"/>
          <w:placeholder>
            <w:docPart w:val="78578A896344485F90E0A1B5DE6CE0BA"/>
          </w:placeholder>
          <w:date w:fullDate="2020-03-27T00:00:00Z">
            <w:dateFormat w:val="d MMMM yyyy"/>
            <w:lid w:val="en-AU"/>
            <w:storeMappedDataAs w:val="dateTime"/>
            <w:calendar w:val="gregorian"/>
          </w:date>
        </w:sdtPr>
        <w:sdtEndPr/>
        <w:sdtContent>
          <w:r w:rsidR="00701147">
            <w:t>27 March 2020</w:t>
          </w:r>
        </w:sdtContent>
      </w:sdt>
    </w:p>
    <w:p w14:paraId="577299F3" w14:textId="187BEFBA" w:rsidR="009A18AA" w:rsidRDefault="009A18AA" w:rsidP="0060552F">
      <w:pPr>
        <w:pStyle w:val="BodyText"/>
        <w:jc w:val="left"/>
      </w:pPr>
    </w:p>
    <w:p w14:paraId="65A883DE" w14:textId="3B83D27D" w:rsidR="00701147" w:rsidRPr="00701147" w:rsidRDefault="00701147" w:rsidP="0060552F">
      <w:pPr>
        <w:pStyle w:val="BodyText"/>
        <w:jc w:val="left"/>
        <w:rPr>
          <w:b/>
        </w:rPr>
      </w:pPr>
      <w:r w:rsidRPr="00701147">
        <w:rPr>
          <w:b/>
        </w:rPr>
        <w:t>Origin Energy’s Response to Electricity End Point URI’s</w:t>
      </w:r>
    </w:p>
    <w:p w14:paraId="638E23AA" w14:textId="5FCF8162" w:rsidR="00701147" w:rsidRDefault="00701147" w:rsidP="0060552F">
      <w:pPr>
        <w:pStyle w:val="BodyText"/>
        <w:jc w:val="left"/>
      </w:pPr>
    </w:p>
    <w:p w14:paraId="2A13B87A" w14:textId="743D1C12" w:rsidR="00701147" w:rsidRDefault="003E77B7" w:rsidP="00701147">
      <w:pPr>
        <w:pStyle w:val="BodyText"/>
        <w:keepNext/>
        <w:spacing w:after="240"/>
        <w:jc w:val="left"/>
      </w:pPr>
      <w:r>
        <w:rPr>
          <w:rStyle w:val="BodyBoldCharacter"/>
        </w:rPr>
        <w:t>General Comments</w:t>
      </w:r>
    </w:p>
    <w:p w14:paraId="0E1E7DED" w14:textId="77777777" w:rsidR="00AD5145" w:rsidRDefault="00AD5145" w:rsidP="00AD5145">
      <w:pPr>
        <w:pStyle w:val="BodyText"/>
        <w:keepNext/>
        <w:jc w:val="left"/>
      </w:pPr>
      <w:r>
        <w:t>There appears to be an assumption that the banking and energy sectors are closely aligned in how the data standards can be developed.  While there may be some synergies, both the data exchange models and system language significantly differ.  Banking has in place a decentralised model with unique account identifiers whereas the energy sector will use a centralised “gateway” AEMO model where data will be sourced from multiple data holders.</w:t>
      </w:r>
    </w:p>
    <w:p w14:paraId="42D1A080" w14:textId="77777777" w:rsidR="00AD5145" w:rsidRDefault="00AD5145" w:rsidP="00AD5145">
      <w:pPr>
        <w:pStyle w:val="BodyText"/>
        <w:keepNext/>
        <w:jc w:val="left"/>
      </w:pPr>
    </w:p>
    <w:p w14:paraId="7F071933" w14:textId="77777777" w:rsidR="00AD5145" w:rsidRDefault="00AD5145" w:rsidP="00AD5145">
      <w:pPr>
        <w:pStyle w:val="BodyText"/>
        <w:keepNext/>
        <w:spacing w:after="60"/>
        <w:jc w:val="left"/>
      </w:pPr>
      <w:r>
        <w:t>Origin is concerned about the lack of a transparent work plan for integrating the energy sector into the Consumer Data Right (CDR) project. Origin requests that the Data Standards Body (DSB) provide the energy sector with a briefing on the proposed:</w:t>
      </w:r>
    </w:p>
    <w:p w14:paraId="4E5EBD67" w14:textId="77777777" w:rsidR="00AD5145" w:rsidRDefault="00AD5145" w:rsidP="00AD5145">
      <w:pPr>
        <w:pStyle w:val="BodyText"/>
        <w:keepNext/>
        <w:numPr>
          <w:ilvl w:val="0"/>
          <w:numId w:val="29"/>
        </w:numPr>
        <w:spacing w:after="60"/>
        <w:jc w:val="left"/>
        <w:rPr>
          <w:rFonts w:eastAsia="Times New Roman"/>
        </w:rPr>
      </w:pPr>
      <w:r>
        <w:rPr>
          <w:rFonts w:eastAsia="Times New Roman"/>
        </w:rPr>
        <w:t xml:space="preserve">governance framework for energy, including the establishment of energy specific working groups; </w:t>
      </w:r>
    </w:p>
    <w:p w14:paraId="2394E645" w14:textId="77777777" w:rsidR="00AD5145" w:rsidRDefault="00AD5145" w:rsidP="00AD5145">
      <w:pPr>
        <w:pStyle w:val="BodyText"/>
        <w:keepNext/>
        <w:numPr>
          <w:ilvl w:val="0"/>
          <w:numId w:val="29"/>
        </w:numPr>
        <w:spacing w:after="60"/>
        <w:jc w:val="left"/>
        <w:rPr>
          <w:rFonts w:eastAsia="Times New Roman"/>
        </w:rPr>
      </w:pPr>
      <w:r>
        <w:rPr>
          <w:rFonts w:eastAsia="Times New Roman"/>
        </w:rPr>
        <w:t>workplan proposal for both the development of systems and data standards; and</w:t>
      </w:r>
    </w:p>
    <w:p w14:paraId="2252B458" w14:textId="77777777" w:rsidR="00AD5145" w:rsidRDefault="00AD5145" w:rsidP="00AD5145">
      <w:pPr>
        <w:pStyle w:val="BodyText"/>
        <w:keepNext/>
        <w:numPr>
          <w:ilvl w:val="0"/>
          <w:numId w:val="29"/>
        </w:numPr>
        <w:jc w:val="left"/>
        <w:rPr>
          <w:rFonts w:eastAsia="Times New Roman"/>
        </w:rPr>
      </w:pPr>
      <w:r>
        <w:rPr>
          <w:rFonts w:eastAsia="Times New Roman"/>
        </w:rPr>
        <w:t>proposed engagement and consultation process.</w:t>
      </w:r>
    </w:p>
    <w:p w14:paraId="59DD4E30" w14:textId="77777777" w:rsidR="00AD5145" w:rsidRDefault="00AD5145" w:rsidP="00AD5145">
      <w:pPr>
        <w:pStyle w:val="BodyText"/>
        <w:keepNext/>
        <w:jc w:val="left"/>
      </w:pPr>
    </w:p>
    <w:p w14:paraId="1A0D6673" w14:textId="77777777" w:rsidR="00AD5145" w:rsidRDefault="00AD5145" w:rsidP="00AD5145">
      <w:pPr>
        <w:pStyle w:val="BodyText"/>
        <w:keepNext/>
        <w:jc w:val="left"/>
        <w:rPr>
          <w:rStyle w:val="BodyBoldCharacter"/>
        </w:rPr>
      </w:pPr>
      <w:r>
        <w:t>Our concerns with the paper are discussed further below.</w:t>
      </w:r>
    </w:p>
    <w:p w14:paraId="74537C6A" w14:textId="41D8DE9A" w:rsidR="00363240" w:rsidRDefault="00363240" w:rsidP="005E2259">
      <w:pPr>
        <w:pStyle w:val="BodyText"/>
        <w:keepNext/>
        <w:jc w:val="left"/>
      </w:pPr>
    </w:p>
    <w:p w14:paraId="7F2326E6" w14:textId="371F7EC9" w:rsidR="009F18CE" w:rsidRPr="009F18CE" w:rsidRDefault="009F18CE" w:rsidP="005E2259">
      <w:pPr>
        <w:pStyle w:val="BodyText"/>
        <w:keepNext/>
        <w:jc w:val="left"/>
        <w:rPr>
          <w:b/>
        </w:rPr>
      </w:pPr>
      <w:r w:rsidRPr="009F18CE">
        <w:rPr>
          <w:b/>
        </w:rPr>
        <w:t xml:space="preserve">Issues </w:t>
      </w:r>
    </w:p>
    <w:p w14:paraId="16C58298" w14:textId="4495F399" w:rsidR="005E2259" w:rsidRPr="00465DF2" w:rsidRDefault="005E2259" w:rsidP="005E2259">
      <w:pPr>
        <w:pStyle w:val="BodyText"/>
        <w:keepNext/>
        <w:jc w:val="left"/>
        <w:rPr>
          <w:i/>
        </w:rPr>
      </w:pPr>
    </w:p>
    <w:p w14:paraId="2FCDD886" w14:textId="143B0082" w:rsidR="00465DF2" w:rsidRPr="00465DF2" w:rsidRDefault="00465DF2" w:rsidP="005E2259">
      <w:pPr>
        <w:pStyle w:val="BodyText"/>
        <w:keepNext/>
        <w:jc w:val="left"/>
        <w:rPr>
          <w:i/>
        </w:rPr>
      </w:pPr>
      <w:r w:rsidRPr="00465DF2">
        <w:rPr>
          <w:i/>
        </w:rPr>
        <w:t>Use of “site” as an identifier</w:t>
      </w:r>
    </w:p>
    <w:p w14:paraId="3A828C16" w14:textId="596BEED2" w:rsidR="00465DF2" w:rsidRDefault="00465DF2" w:rsidP="005E2259">
      <w:pPr>
        <w:pStyle w:val="BodyText"/>
        <w:keepNext/>
        <w:jc w:val="left"/>
      </w:pPr>
    </w:p>
    <w:p w14:paraId="1CB5E414" w14:textId="1919FCCA" w:rsidR="00E33104" w:rsidRDefault="00E33104" w:rsidP="005E2259">
      <w:pPr>
        <w:pStyle w:val="BodyText"/>
        <w:keepNext/>
        <w:jc w:val="left"/>
      </w:pPr>
      <w:r>
        <w:t xml:space="preserve">Origin notes that the paper makes a recommendation that the CDR data standards should use the term ‘site’ rather than </w:t>
      </w:r>
      <w:r w:rsidR="00680E5E">
        <w:t>‘</w:t>
      </w:r>
      <w:r>
        <w:t>NMI</w:t>
      </w:r>
      <w:r w:rsidR="00680E5E">
        <w:t>’</w:t>
      </w:r>
      <w:r>
        <w:t xml:space="preserve"> </w:t>
      </w:r>
      <w:r w:rsidR="006426D0">
        <w:t xml:space="preserve">as a URI identifier </w:t>
      </w:r>
      <w:r>
        <w:t>to reduce ambiguities for participants that may not be immersed in the electricity sector.  While this recommendation is made, there is no proposed definition of ‘site in the paper.</w:t>
      </w:r>
    </w:p>
    <w:p w14:paraId="3391A0F9" w14:textId="74D94C51" w:rsidR="00E33104" w:rsidRDefault="00E33104" w:rsidP="005E2259">
      <w:pPr>
        <w:pStyle w:val="BodyText"/>
        <w:keepNext/>
        <w:jc w:val="left"/>
      </w:pPr>
    </w:p>
    <w:p w14:paraId="348F2C92" w14:textId="15038430" w:rsidR="00680E5E" w:rsidRDefault="00E33104" w:rsidP="00E33104">
      <w:pPr>
        <w:pStyle w:val="BodyText"/>
        <w:keepNext/>
        <w:jc w:val="left"/>
      </w:pPr>
      <w:r>
        <w:t>The use of the term ‘site’ in the electricity industry is very broad.  Energy uses the term ‘</w:t>
      </w:r>
      <w:r w:rsidR="00711A64">
        <w:t xml:space="preserve">NMI’ </w:t>
      </w:r>
      <w:r w:rsidR="00680E5E">
        <w:t xml:space="preserve">for a reason </w:t>
      </w:r>
      <w:r w:rsidR="00711A64">
        <w:t xml:space="preserve">as </w:t>
      </w:r>
      <w:r>
        <w:t xml:space="preserve">it is a </w:t>
      </w:r>
      <w:r w:rsidR="00711A64">
        <w:t>unique identifier of a customer</w:t>
      </w:r>
      <w:r w:rsidR="00680E5E">
        <w:t xml:space="preserve"> at a </w:t>
      </w:r>
      <w:proofErr w:type="gramStart"/>
      <w:r w:rsidR="00680E5E">
        <w:t>premises</w:t>
      </w:r>
      <w:proofErr w:type="gramEnd"/>
      <w:r>
        <w:t xml:space="preserve">.  </w:t>
      </w:r>
      <w:r w:rsidR="00680E5E">
        <w:t xml:space="preserve">For example, is ‘site’ </w:t>
      </w:r>
      <w:r w:rsidR="00711A64">
        <w:t>the 1) supply address or 2) the billing address?</w:t>
      </w:r>
      <w:r w:rsidR="00680E5E">
        <w:t xml:space="preserve">  These will differ based on the location of the meter at a site (especially for corner blocks) and the Australia Post billing address.  It will also differ if a customer has aggregated accounts and requested that bills be directed to one address.  </w:t>
      </w:r>
    </w:p>
    <w:p w14:paraId="69DAAC95" w14:textId="77777777" w:rsidR="00680E5E" w:rsidRDefault="00680E5E" w:rsidP="00E33104">
      <w:pPr>
        <w:pStyle w:val="BodyText"/>
        <w:keepNext/>
        <w:jc w:val="left"/>
      </w:pPr>
    </w:p>
    <w:p w14:paraId="3CEE7FD3" w14:textId="54637CC6" w:rsidR="00E33104" w:rsidRDefault="00680E5E" w:rsidP="00680E5E">
      <w:pPr>
        <w:pStyle w:val="BodyText"/>
        <w:keepNext/>
        <w:jc w:val="left"/>
      </w:pPr>
      <w:r>
        <w:t xml:space="preserve">A site can also have multiple customers, over multiple blocks of land and multiple NMI’s.  </w:t>
      </w:r>
      <w:r w:rsidR="00E33104">
        <w:t xml:space="preserve">A site may have a house at the front of the site with a residential customer and a shed at the back of the site with a different commercial business.  </w:t>
      </w:r>
    </w:p>
    <w:p w14:paraId="7A589097" w14:textId="32AFE213" w:rsidR="006426D0" w:rsidRDefault="006426D0" w:rsidP="00680E5E">
      <w:pPr>
        <w:pStyle w:val="BodyText"/>
        <w:keepNext/>
        <w:jc w:val="left"/>
      </w:pPr>
    </w:p>
    <w:p w14:paraId="43913FA8" w14:textId="23880CE5" w:rsidR="006426D0" w:rsidRDefault="006426D0" w:rsidP="006426D0">
      <w:pPr>
        <w:pStyle w:val="BodyText"/>
        <w:jc w:val="left"/>
      </w:pPr>
      <w:r>
        <w:t xml:space="preserve">Further, current systems work on the premises of NMI’s where AEMO can validate which retailer </w:t>
      </w:r>
      <w:r w:rsidR="00B94E4B">
        <w:t xml:space="preserve">is or </w:t>
      </w:r>
      <w:r>
        <w:t xml:space="preserve">was financially responsible for </w:t>
      </w:r>
      <w:proofErr w:type="gramStart"/>
      <w:r>
        <w:t>a</w:t>
      </w:r>
      <w:proofErr w:type="gramEnd"/>
      <w:r>
        <w:t xml:space="preserve"> NMI for any defined period and direct a data request to each relevant retailer for the period the retailer was responsible. Each retailer can undertake their own validations and, once confirmed, provide AEMO with their proportion of the data set. AEMO can then provide the various data sets to the </w:t>
      </w:r>
      <w:r w:rsidR="00B94E4B">
        <w:t>accredited third party</w:t>
      </w:r>
      <w:r>
        <w:t xml:space="preserve">.  Market and retailer systems do not operate on the bases of providing data based on ‘site’ and </w:t>
      </w:r>
      <w:r w:rsidR="00B94E4B">
        <w:t xml:space="preserve">it </w:t>
      </w:r>
      <w:r>
        <w:t>would be significantly costly to rebuild systems to provide data based on these URI’s.</w:t>
      </w:r>
    </w:p>
    <w:p w14:paraId="2080B810" w14:textId="709010D3" w:rsidR="006426D0" w:rsidRDefault="006426D0" w:rsidP="00680E5E">
      <w:pPr>
        <w:pStyle w:val="BodyText"/>
        <w:keepNext/>
        <w:jc w:val="left"/>
      </w:pPr>
    </w:p>
    <w:p w14:paraId="22FEC112" w14:textId="23F9E7E7" w:rsidR="005E2259" w:rsidRDefault="00680E5E" w:rsidP="005E2259">
      <w:pPr>
        <w:pStyle w:val="BodyText"/>
        <w:jc w:val="left"/>
      </w:pPr>
      <w:r>
        <w:t xml:space="preserve">Origin </w:t>
      </w:r>
      <w:r w:rsidR="00B94E4B">
        <w:t xml:space="preserve">wishes to </w:t>
      </w:r>
      <w:r>
        <w:t xml:space="preserve">highlight that the </w:t>
      </w:r>
      <w:r w:rsidR="005E2259">
        <w:t xml:space="preserve">energy sector differs </w:t>
      </w:r>
      <w:r w:rsidR="009F18CE">
        <w:t xml:space="preserve">significantly </w:t>
      </w:r>
      <w:r w:rsidR="005E2259">
        <w:t xml:space="preserve">from </w:t>
      </w:r>
      <w:r w:rsidR="009F18CE">
        <w:t xml:space="preserve">the </w:t>
      </w:r>
      <w:r w:rsidR="005E2259">
        <w:t xml:space="preserve">banking </w:t>
      </w:r>
      <w:r w:rsidR="009F18CE">
        <w:t>sector</w:t>
      </w:r>
      <w:r w:rsidR="005E2259">
        <w:t xml:space="preserve"> in that the unique identifier of a person’s consumption data is a meter – which is not unique to the person themselves but the </w:t>
      </w:r>
      <w:r w:rsidR="00B94E4B">
        <w:t>premises</w:t>
      </w:r>
      <w:r w:rsidR="005E2259">
        <w:t xml:space="preserve"> at which they are consuming energy. The energy retailer is the only person in the market today who can match a meter number (National Meter Identifier or NMI for electricity) with the authorised person</w:t>
      </w:r>
      <w:r w:rsidR="006F7550">
        <w:t xml:space="preserve"> at the </w:t>
      </w:r>
      <w:r w:rsidR="00B94E4B">
        <w:t>premises</w:t>
      </w:r>
      <w:r w:rsidR="005E2259">
        <w:t xml:space="preserve">. However, across a year, the same </w:t>
      </w:r>
      <w:r w:rsidR="008174E4">
        <w:t xml:space="preserve">customer </w:t>
      </w:r>
      <w:r w:rsidR="005E2259">
        <w:t xml:space="preserve">could have different retailers at a single house (NMI). </w:t>
      </w:r>
    </w:p>
    <w:p w14:paraId="224185CA" w14:textId="77777777" w:rsidR="005E2259" w:rsidRDefault="005E2259" w:rsidP="005E2259">
      <w:pPr>
        <w:pStyle w:val="BodyText"/>
        <w:jc w:val="left"/>
      </w:pPr>
    </w:p>
    <w:p w14:paraId="46B65D57" w14:textId="316F0D41" w:rsidR="005E2259" w:rsidRDefault="005E2259" w:rsidP="005E2259">
      <w:pPr>
        <w:pStyle w:val="BodyText"/>
        <w:jc w:val="left"/>
      </w:pPr>
      <w:r>
        <w:lastRenderedPageBreak/>
        <w:t>By contrast in banking, a person’s account only includes that person’s transactions. If they move their account from one bank to another, the transactions stop at the first bank and then start up at the next. No one new starts accruing new transactions in the closed account at the first bank. Energy is unique in how it requires a combination of identify</w:t>
      </w:r>
      <w:r w:rsidR="009B0291">
        <w:t>ing</w:t>
      </w:r>
      <w:r>
        <w:t xml:space="preserve"> both the authorised person and their meter number to access consumption data – at all relevant properties within a time period</w:t>
      </w:r>
      <w:r w:rsidR="00465DF2">
        <w:t>.</w:t>
      </w:r>
    </w:p>
    <w:p w14:paraId="2D34A7D5" w14:textId="58176401" w:rsidR="00465DF2" w:rsidRDefault="00465DF2" w:rsidP="005E2259">
      <w:pPr>
        <w:pStyle w:val="BodyText"/>
        <w:jc w:val="left"/>
      </w:pPr>
    </w:p>
    <w:p w14:paraId="25446A6A" w14:textId="721B17A0" w:rsidR="009B0291" w:rsidRDefault="009B0291" w:rsidP="009B0291">
      <w:pPr>
        <w:pStyle w:val="BodyText"/>
        <w:jc w:val="left"/>
      </w:pPr>
      <w:r>
        <w:t>As noted abo</w:t>
      </w:r>
      <w:r w:rsidR="00F904F6">
        <w:t>ve</w:t>
      </w:r>
      <w:r>
        <w:t xml:space="preserve">, the energy sector will be utilising a centralised ‘gateway’ model for the collation and dissemination of data to accredited third parties.  </w:t>
      </w:r>
      <w:r w:rsidR="00B94E4B">
        <w:t>This reinforces the need for consistent and energy specific language so that current systems of all data holders can be utilised to extract and provide information through AEMO’s gateway.</w:t>
      </w:r>
    </w:p>
    <w:p w14:paraId="2878E6C9" w14:textId="69CE4080" w:rsidR="009B0291" w:rsidRDefault="009B0291" w:rsidP="005E2259">
      <w:pPr>
        <w:pStyle w:val="BodyText"/>
        <w:jc w:val="left"/>
      </w:pPr>
    </w:p>
    <w:p w14:paraId="47EDF476" w14:textId="7B34D3F3" w:rsidR="00710C30" w:rsidRPr="007B62E6" w:rsidRDefault="00B94E4B" w:rsidP="007A5A8B">
      <w:pPr>
        <w:pStyle w:val="BodyText"/>
        <w:jc w:val="left"/>
        <w:rPr>
          <w:b/>
        </w:rPr>
      </w:pPr>
      <w:r w:rsidRPr="007B62E6">
        <w:rPr>
          <w:b/>
        </w:rPr>
        <w:t>Entity Relationship Assumptions</w:t>
      </w:r>
    </w:p>
    <w:p w14:paraId="34B3F934" w14:textId="776C1754" w:rsidR="00B94E4B" w:rsidRDefault="00B94E4B" w:rsidP="007A5A8B">
      <w:pPr>
        <w:pStyle w:val="BodyText"/>
        <w:jc w:val="left"/>
      </w:pPr>
    </w:p>
    <w:p w14:paraId="14DA56B5" w14:textId="4A19F843" w:rsidR="00B94E4B" w:rsidRDefault="00B94E4B" w:rsidP="007A5A8B">
      <w:pPr>
        <w:pStyle w:val="BodyText"/>
        <w:jc w:val="left"/>
      </w:pPr>
      <w:r>
        <w:t>The paper has made a number of assumptions that are to apply to the relationship between data sets</w:t>
      </w:r>
      <w:r w:rsidR="007B62E6">
        <w:t>.  The paper notes that the ACCC is still considering these relationships and is yet to develop rules on the</w:t>
      </w:r>
      <w:r w:rsidR="00F904F6">
        <w:t xml:space="preserve"> relationships</w:t>
      </w:r>
      <w:r w:rsidR="007B62E6">
        <w:t xml:space="preserve">.  Origin’s comments on specific </w:t>
      </w:r>
      <w:r w:rsidR="00F904F6">
        <w:t xml:space="preserve">DSB </w:t>
      </w:r>
      <w:r w:rsidR="007B62E6">
        <w:t>assumptions are included below:</w:t>
      </w:r>
    </w:p>
    <w:p w14:paraId="7555DD16" w14:textId="2B7A9E56" w:rsidR="007B62E6" w:rsidRDefault="007B62E6" w:rsidP="007A5A8B">
      <w:pPr>
        <w:pStyle w:val="BodyText"/>
        <w:jc w:val="left"/>
      </w:pPr>
    </w:p>
    <w:tbl>
      <w:tblPr>
        <w:tblStyle w:val="TableGrid"/>
        <w:tblW w:w="9634" w:type="dxa"/>
        <w:tblLook w:val="04A0" w:firstRow="1" w:lastRow="0" w:firstColumn="1" w:lastColumn="0" w:noHBand="0" w:noVBand="1"/>
      </w:tblPr>
      <w:tblGrid>
        <w:gridCol w:w="562"/>
        <w:gridCol w:w="2835"/>
        <w:gridCol w:w="6237"/>
      </w:tblGrid>
      <w:tr w:rsidR="000E019F" w:rsidRPr="000E019F" w14:paraId="66174281" w14:textId="77777777" w:rsidTr="0024726D">
        <w:tc>
          <w:tcPr>
            <w:tcW w:w="562" w:type="dxa"/>
            <w:shd w:val="clear" w:color="auto" w:fill="000000" w:themeFill="text1"/>
          </w:tcPr>
          <w:p w14:paraId="4ED50B7B" w14:textId="381E414B" w:rsidR="000E019F" w:rsidRPr="000E019F" w:rsidRDefault="000E019F" w:rsidP="000E019F">
            <w:pPr>
              <w:pStyle w:val="BodyText"/>
              <w:jc w:val="center"/>
              <w:rPr>
                <w:rFonts w:ascii="Arial" w:hAnsi="Arial" w:cs="Arial"/>
                <w:b/>
                <w:szCs w:val="20"/>
              </w:rPr>
            </w:pPr>
            <w:r w:rsidRPr="000E019F">
              <w:rPr>
                <w:rFonts w:ascii="Arial" w:hAnsi="Arial" w:cs="Arial"/>
                <w:b/>
                <w:szCs w:val="20"/>
              </w:rPr>
              <w:t>No.</w:t>
            </w:r>
          </w:p>
        </w:tc>
        <w:tc>
          <w:tcPr>
            <w:tcW w:w="2835" w:type="dxa"/>
            <w:shd w:val="clear" w:color="auto" w:fill="000000" w:themeFill="text1"/>
          </w:tcPr>
          <w:p w14:paraId="5E26468C" w14:textId="4A688F3D" w:rsidR="000E019F" w:rsidRPr="000E019F" w:rsidRDefault="000E019F" w:rsidP="000E019F">
            <w:pPr>
              <w:pStyle w:val="BodyText"/>
              <w:jc w:val="center"/>
              <w:rPr>
                <w:rFonts w:ascii="Arial" w:hAnsi="Arial" w:cs="Arial"/>
                <w:b/>
                <w:szCs w:val="20"/>
              </w:rPr>
            </w:pPr>
            <w:r w:rsidRPr="000E019F">
              <w:rPr>
                <w:rFonts w:ascii="Arial" w:hAnsi="Arial" w:cs="Arial"/>
                <w:b/>
                <w:szCs w:val="20"/>
              </w:rPr>
              <w:t>DSB Assumption</w:t>
            </w:r>
          </w:p>
        </w:tc>
        <w:tc>
          <w:tcPr>
            <w:tcW w:w="6237" w:type="dxa"/>
            <w:shd w:val="clear" w:color="auto" w:fill="000000" w:themeFill="text1"/>
          </w:tcPr>
          <w:p w14:paraId="7D6D5308" w14:textId="0FB55601" w:rsidR="000E019F" w:rsidRPr="000E019F" w:rsidRDefault="000E019F" w:rsidP="000E019F">
            <w:pPr>
              <w:pStyle w:val="BodyText"/>
              <w:jc w:val="center"/>
              <w:rPr>
                <w:rFonts w:ascii="Arial" w:hAnsi="Arial" w:cs="Arial"/>
                <w:b/>
                <w:szCs w:val="20"/>
              </w:rPr>
            </w:pPr>
            <w:r w:rsidRPr="000E019F">
              <w:rPr>
                <w:rFonts w:ascii="Arial" w:hAnsi="Arial" w:cs="Arial"/>
                <w:b/>
                <w:szCs w:val="20"/>
              </w:rPr>
              <w:t>Origin Comment</w:t>
            </w:r>
          </w:p>
        </w:tc>
      </w:tr>
      <w:tr w:rsidR="000E019F" w:rsidRPr="000E019F" w14:paraId="283D2253" w14:textId="77777777" w:rsidTr="0024726D">
        <w:tc>
          <w:tcPr>
            <w:tcW w:w="562" w:type="dxa"/>
          </w:tcPr>
          <w:p w14:paraId="255F3E95" w14:textId="59C2CD37" w:rsidR="000E019F" w:rsidRPr="000E019F" w:rsidRDefault="000E019F" w:rsidP="007A5A8B">
            <w:pPr>
              <w:pStyle w:val="BodyText"/>
              <w:jc w:val="left"/>
              <w:rPr>
                <w:rFonts w:ascii="Arial" w:hAnsi="Arial" w:cs="Arial"/>
                <w:szCs w:val="20"/>
              </w:rPr>
            </w:pPr>
            <w:r w:rsidRPr="000E019F">
              <w:rPr>
                <w:rFonts w:ascii="Arial" w:hAnsi="Arial" w:cs="Arial"/>
                <w:szCs w:val="20"/>
              </w:rPr>
              <w:t>1</w:t>
            </w:r>
          </w:p>
        </w:tc>
        <w:tc>
          <w:tcPr>
            <w:tcW w:w="2835" w:type="dxa"/>
          </w:tcPr>
          <w:p w14:paraId="51F0AD4C" w14:textId="0DFBC558" w:rsidR="000E019F" w:rsidRPr="000E019F" w:rsidRDefault="000E019F" w:rsidP="0024726D">
            <w:pPr>
              <w:autoSpaceDE w:val="0"/>
              <w:autoSpaceDN w:val="0"/>
              <w:adjustRightInd w:val="0"/>
              <w:rPr>
                <w:rFonts w:ascii="Arial" w:hAnsi="Arial" w:cs="Arial"/>
                <w:szCs w:val="20"/>
              </w:rPr>
            </w:pPr>
            <w:r w:rsidRPr="000E019F">
              <w:rPr>
                <w:rFonts w:ascii="Arial" w:hAnsi="Arial" w:cs="Arial"/>
                <w:szCs w:val="20"/>
              </w:rPr>
              <w:t>A customer may be an individual or a business (in which case data sharing is being</w:t>
            </w:r>
            <w:r w:rsidR="0024726D">
              <w:rPr>
                <w:rFonts w:ascii="Arial" w:hAnsi="Arial" w:cs="Arial"/>
                <w:szCs w:val="20"/>
              </w:rPr>
              <w:t xml:space="preserve"> </w:t>
            </w:r>
            <w:r w:rsidRPr="000E019F">
              <w:rPr>
                <w:rFonts w:ascii="Arial" w:hAnsi="Arial" w:cs="Arial"/>
                <w:szCs w:val="20"/>
              </w:rPr>
              <w:t>authorised by an authenticated and authorised agent)</w:t>
            </w:r>
          </w:p>
        </w:tc>
        <w:tc>
          <w:tcPr>
            <w:tcW w:w="6237" w:type="dxa"/>
          </w:tcPr>
          <w:p w14:paraId="19352E47" w14:textId="6B23133C" w:rsidR="000E019F" w:rsidRPr="000E019F" w:rsidRDefault="000F5B40" w:rsidP="00B75142">
            <w:pPr>
              <w:pStyle w:val="BodyText"/>
              <w:jc w:val="left"/>
              <w:rPr>
                <w:rFonts w:ascii="Arial" w:hAnsi="Arial" w:cs="Arial"/>
                <w:szCs w:val="20"/>
              </w:rPr>
            </w:pPr>
            <w:r>
              <w:t xml:space="preserve">Consideration needs to be given to the size and geographical location of customers.  Residential consumers have a much more prescriptive consumer protections framework compared to the more generic protections covering larger, commercial and industrial consumers. The variances in the framework are appropriate given the significant differences between the energy services required by a residential consumer compared to an aluminium smelter.  </w:t>
            </w:r>
            <w:r w:rsidR="00B75142">
              <w:t>The Rules framework, when developed, will define the customer and variances for the different customer classes.  It is difficult to define this relationship at this time.</w:t>
            </w:r>
          </w:p>
        </w:tc>
      </w:tr>
      <w:tr w:rsidR="000E019F" w:rsidRPr="000E019F" w14:paraId="142F4DB8" w14:textId="77777777" w:rsidTr="0024726D">
        <w:tc>
          <w:tcPr>
            <w:tcW w:w="562" w:type="dxa"/>
          </w:tcPr>
          <w:p w14:paraId="4C5A9D66" w14:textId="21479A1D" w:rsidR="000E019F" w:rsidRPr="000E019F" w:rsidRDefault="000E019F" w:rsidP="000E019F">
            <w:pPr>
              <w:pStyle w:val="BodyText"/>
              <w:jc w:val="left"/>
              <w:rPr>
                <w:rFonts w:ascii="Arial" w:hAnsi="Arial" w:cs="Arial"/>
                <w:szCs w:val="20"/>
              </w:rPr>
            </w:pPr>
            <w:r w:rsidRPr="000E019F">
              <w:rPr>
                <w:rFonts w:ascii="Arial" w:hAnsi="Arial" w:cs="Arial"/>
                <w:szCs w:val="20"/>
              </w:rPr>
              <w:t>2</w:t>
            </w:r>
          </w:p>
        </w:tc>
        <w:tc>
          <w:tcPr>
            <w:tcW w:w="2835" w:type="dxa"/>
          </w:tcPr>
          <w:p w14:paraId="325494C2" w14:textId="77777777" w:rsidR="000E019F" w:rsidRPr="000E019F" w:rsidRDefault="000E019F" w:rsidP="000E019F">
            <w:pPr>
              <w:pStyle w:val="BodyText"/>
              <w:jc w:val="left"/>
              <w:rPr>
                <w:rFonts w:ascii="Arial" w:hAnsi="Arial" w:cs="Arial"/>
                <w:szCs w:val="20"/>
              </w:rPr>
            </w:pPr>
            <w:r w:rsidRPr="000E019F">
              <w:rPr>
                <w:rFonts w:ascii="Arial" w:hAnsi="Arial" w:cs="Arial"/>
                <w:szCs w:val="20"/>
              </w:rPr>
              <w:t>A customer must have one, but may have many, current contracted plans.</w:t>
            </w:r>
          </w:p>
          <w:p w14:paraId="71DBB3E9" w14:textId="77777777" w:rsidR="000E019F" w:rsidRPr="000E019F" w:rsidRDefault="000E019F" w:rsidP="000E019F">
            <w:pPr>
              <w:pStyle w:val="BodyText"/>
              <w:jc w:val="left"/>
              <w:rPr>
                <w:rFonts w:ascii="Arial" w:hAnsi="Arial" w:cs="Arial"/>
                <w:szCs w:val="20"/>
              </w:rPr>
            </w:pPr>
          </w:p>
          <w:p w14:paraId="4B552453" w14:textId="77777777" w:rsidR="000E019F" w:rsidRPr="000E019F" w:rsidRDefault="000E019F" w:rsidP="000E019F">
            <w:pPr>
              <w:pStyle w:val="BodyText"/>
              <w:jc w:val="left"/>
              <w:rPr>
                <w:rFonts w:ascii="Arial" w:hAnsi="Arial" w:cs="Arial"/>
                <w:szCs w:val="20"/>
              </w:rPr>
            </w:pPr>
          </w:p>
        </w:tc>
        <w:tc>
          <w:tcPr>
            <w:tcW w:w="6237" w:type="dxa"/>
          </w:tcPr>
          <w:p w14:paraId="1C5F6EED" w14:textId="5DA994EA" w:rsidR="000E019F" w:rsidRPr="000E019F" w:rsidRDefault="000E019F" w:rsidP="0024726D">
            <w:pPr>
              <w:pStyle w:val="BodyText"/>
              <w:jc w:val="left"/>
              <w:rPr>
                <w:rFonts w:ascii="Arial" w:hAnsi="Arial" w:cs="Arial"/>
                <w:szCs w:val="20"/>
              </w:rPr>
            </w:pPr>
            <w:r w:rsidRPr="000E019F">
              <w:rPr>
                <w:rFonts w:ascii="Arial" w:hAnsi="Arial" w:cs="Arial"/>
                <w:szCs w:val="20"/>
              </w:rPr>
              <w:t xml:space="preserve">Customers can move between retailers and contracted plans on a free basis.  Generally, there are no termination fees and it is proposed by AEMO that transfer can occur within 2 days of signing a contract.  If a customer requests say </w:t>
            </w:r>
            <w:r w:rsidR="008174E4">
              <w:rPr>
                <w:rFonts w:ascii="Arial" w:hAnsi="Arial" w:cs="Arial"/>
                <w:szCs w:val="20"/>
              </w:rPr>
              <w:t>12 months of</w:t>
            </w:r>
            <w:r w:rsidRPr="000E019F">
              <w:rPr>
                <w:rFonts w:ascii="Arial" w:hAnsi="Arial" w:cs="Arial"/>
                <w:szCs w:val="20"/>
              </w:rPr>
              <w:t xml:space="preserve"> data, the customer may have been with </w:t>
            </w:r>
            <w:r w:rsidR="008174E4">
              <w:rPr>
                <w:rFonts w:ascii="Arial" w:hAnsi="Arial" w:cs="Arial"/>
                <w:szCs w:val="20"/>
              </w:rPr>
              <w:t>2</w:t>
            </w:r>
            <w:r w:rsidRPr="000E019F">
              <w:rPr>
                <w:rFonts w:ascii="Arial" w:hAnsi="Arial" w:cs="Arial"/>
                <w:szCs w:val="20"/>
              </w:rPr>
              <w:t xml:space="preserve"> retailers and on </w:t>
            </w:r>
            <w:r w:rsidR="008174E4">
              <w:rPr>
                <w:rFonts w:ascii="Arial" w:hAnsi="Arial" w:cs="Arial"/>
                <w:szCs w:val="20"/>
              </w:rPr>
              <w:t>2</w:t>
            </w:r>
            <w:r w:rsidRPr="000E019F">
              <w:rPr>
                <w:rFonts w:ascii="Arial" w:hAnsi="Arial" w:cs="Arial"/>
                <w:szCs w:val="20"/>
              </w:rPr>
              <w:t xml:space="preserve"> different plans.  The information requested of a data holder (</w:t>
            </w:r>
            <w:proofErr w:type="spellStart"/>
            <w:r w:rsidRPr="000E019F">
              <w:rPr>
                <w:rFonts w:ascii="Arial" w:hAnsi="Arial" w:cs="Arial"/>
                <w:szCs w:val="20"/>
              </w:rPr>
              <w:t>ie</w:t>
            </w:r>
            <w:proofErr w:type="spellEnd"/>
            <w:r w:rsidRPr="000E019F">
              <w:rPr>
                <w:rFonts w:ascii="Arial" w:hAnsi="Arial" w:cs="Arial"/>
                <w:szCs w:val="20"/>
              </w:rPr>
              <w:t xml:space="preserve"> retailer) for data may not relate to a “current” plan as the customer has moved onto another plan.  </w:t>
            </w:r>
            <w:r w:rsidR="008174E4">
              <w:rPr>
                <w:rFonts w:ascii="Arial" w:hAnsi="Arial" w:cs="Arial"/>
                <w:szCs w:val="20"/>
              </w:rPr>
              <w:t>This assumption should be tested further.</w:t>
            </w:r>
          </w:p>
        </w:tc>
      </w:tr>
      <w:tr w:rsidR="0024726D" w:rsidRPr="000E019F" w14:paraId="759D51BF" w14:textId="77777777" w:rsidTr="0024726D">
        <w:tc>
          <w:tcPr>
            <w:tcW w:w="562" w:type="dxa"/>
          </w:tcPr>
          <w:p w14:paraId="75C55A97" w14:textId="52F009EC" w:rsidR="0024726D" w:rsidRPr="000E019F" w:rsidRDefault="0024726D" w:rsidP="0024726D">
            <w:pPr>
              <w:pStyle w:val="BodyText"/>
              <w:jc w:val="left"/>
              <w:rPr>
                <w:rFonts w:ascii="Arial" w:hAnsi="Arial" w:cs="Arial"/>
                <w:szCs w:val="20"/>
              </w:rPr>
            </w:pPr>
            <w:r w:rsidRPr="000E019F">
              <w:rPr>
                <w:rFonts w:ascii="Arial" w:hAnsi="Arial" w:cs="Arial"/>
                <w:szCs w:val="20"/>
              </w:rPr>
              <w:t>3</w:t>
            </w:r>
          </w:p>
        </w:tc>
        <w:tc>
          <w:tcPr>
            <w:tcW w:w="2835" w:type="dxa"/>
          </w:tcPr>
          <w:p w14:paraId="2F314F63" w14:textId="3EFE429C" w:rsidR="0024726D" w:rsidRPr="000E019F" w:rsidRDefault="0024726D" w:rsidP="0024726D">
            <w:pPr>
              <w:autoSpaceDE w:val="0"/>
              <w:autoSpaceDN w:val="0"/>
              <w:adjustRightInd w:val="0"/>
              <w:rPr>
                <w:rFonts w:ascii="Arial" w:hAnsi="Arial" w:cs="Arial"/>
                <w:szCs w:val="20"/>
              </w:rPr>
            </w:pPr>
            <w:r w:rsidRPr="000E019F">
              <w:rPr>
                <w:rFonts w:ascii="Arial" w:hAnsi="Arial" w:cs="Arial"/>
                <w:szCs w:val="20"/>
              </w:rPr>
              <w:t xml:space="preserve">A contracted plan must have one, but may have many, associated sites (denoted by </w:t>
            </w:r>
            <w:proofErr w:type="gramStart"/>
            <w:r w:rsidRPr="000E019F">
              <w:rPr>
                <w:rFonts w:ascii="Arial" w:hAnsi="Arial" w:cs="Arial"/>
                <w:szCs w:val="20"/>
              </w:rPr>
              <w:t>a</w:t>
            </w:r>
            <w:proofErr w:type="gramEnd"/>
            <w:r w:rsidRPr="000E019F">
              <w:rPr>
                <w:rFonts w:ascii="Arial" w:hAnsi="Arial" w:cs="Arial"/>
                <w:szCs w:val="20"/>
              </w:rPr>
              <w:t xml:space="preserve"> NMI)</w:t>
            </w:r>
          </w:p>
        </w:tc>
        <w:tc>
          <w:tcPr>
            <w:tcW w:w="6237" w:type="dxa"/>
          </w:tcPr>
          <w:p w14:paraId="3B4E259A" w14:textId="77777777" w:rsidR="0024726D" w:rsidRPr="000E019F" w:rsidRDefault="0024726D" w:rsidP="0024726D">
            <w:pPr>
              <w:pStyle w:val="BodyText"/>
              <w:jc w:val="left"/>
              <w:rPr>
                <w:rFonts w:ascii="Arial" w:hAnsi="Arial" w:cs="Arial"/>
                <w:szCs w:val="20"/>
              </w:rPr>
            </w:pPr>
            <w:r w:rsidRPr="000E019F">
              <w:rPr>
                <w:rFonts w:ascii="Arial" w:hAnsi="Arial" w:cs="Arial"/>
                <w:szCs w:val="20"/>
              </w:rPr>
              <w:t xml:space="preserve">As discussed above, the use of the term </w:t>
            </w:r>
            <w:r>
              <w:rPr>
                <w:rFonts w:ascii="Arial" w:hAnsi="Arial" w:cs="Arial"/>
                <w:szCs w:val="20"/>
              </w:rPr>
              <w:t>“</w:t>
            </w:r>
            <w:r w:rsidRPr="000E019F">
              <w:rPr>
                <w:rFonts w:ascii="Arial" w:hAnsi="Arial" w:cs="Arial"/>
                <w:szCs w:val="20"/>
              </w:rPr>
              <w:t>sites</w:t>
            </w:r>
            <w:r>
              <w:rPr>
                <w:rFonts w:ascii="Arial" w:hAnsi="Arial" w:cs="Arial"/>
                <w:szCs w:val="20"/>
              </w:rPr>
              <w:t>”</w:t>
            </w:r>
            <w:r w:rsidRPr="000E019F">
              <w:rPr>
                <w:rFonts w:ascii="Arial" w:hAnsi="Arial" w:cs="Arial"/>
                <w:szCs w:val="20"/>
              </w:rPr>
              <w:t xml:space="preserve"> is confusing for the energy sector. </w:t>
            </w:r>
          </w:p>
          <w:p w14:paraId="11BF5E9C" w14:textId="77777777" w:rsidR="0024726D" w:rsidRPr="000E019F" w:rsidRDefault="0024726D" w:rsidP="0024726D">
            <w:pPr>
              <w:pStyle w:val="BodyText"/>
              <w:jc w:val="left"/>
              <w:rPr>
                <w:rFonts w:ascii="Arial" w:hAnsi="Arial" w:cs="Arial"/>
                <w:szCs w:val="20"/>
              </w:rPr>
            </w:pPr>
          </w:p>
        </w:tc>
      </w:tr>
      <w:tr w:rsidR="0024726D" w:rsidRPr="000E019F" w14:paraId="497F76D1" w14:textId="77777777" w:rsidTr="0024726D">
        <w:tc>
          <w:tcPr>
            <w:tcW w:w="562" w:type="dxa"/>
          </w:tcPr>
          <w:p w14:paraId="5C124611" w14:textId="4C68CDE2" w:rsidR="0024726D" w:rsidRPr="000E019F" w:rsidRDefault="0024726D" w:rsidP="0024726D">
            <w:pPr>
              <w:pStyle w:val="BodyText"/>
              <w:jc w:val="left"/>
              <w:rPr>
                <w:rFonts w:ascii="Arial" w:hAnsi="Arial" w:cs="Arial"/>
                <w:szCs w:val="20"/>
              </w:rPr>
            </w:pPr>
            <w:r>
              <w:rPr>
                <w:rFonts w:ascii="Arial" w:hAnsi="Arial" w:cs="Arial"/>
                <w:szCs w:val="20"/>
              </w:rPr>
              <w:t>4</w:t>
            </w:r>
          </w:p>
        </w:tc>
        <w:tc>
          <w:tcPr>
            <w:tcW w:w="2835" w:type="dxa"/>
          </w:tcPr>
          <w:p w14:paraId="4416DE6E" w14:textId="70C87F63" w:rsidR="0024726D" w:rsidRPr="000E019F" w:rsidRDefault="0024726D" w:rsidP="0024726D">
            <w:pPr>
              <w:pStyle w:val="BodyText"/>
              <w:jc w:val="left"/>
              <w:rPr>
                <w:rFonts w:ascii="Arial" w:hAnsi="Arial" w:cs="Arial"/>
                <w:szCs w:val="20"/>
              </w:rPr>
            </w:pPr>
            <w:r w:rsidRPr="000E019F">
              <w:rPr>
                <w:rFonts w:ascii="Arial" w:hAnsi="Arial" w:cs="Arial"/>
                <w:szCs w:val="20"/>
              </w:rPr>
              <w:t>A customer must have one, but may have many, sites</w:t>
            </w:r>
          </w:p>
        </w:tc>
        <w:tc>
          <w:tcPr>
            <w:tcW w:w="6237" w:type="dxa"/>
          </w:tcPr>
          <w:p w14:paraId="3C5FFD26" w14:textId="3D7275EE" w:rsidR="0024726D" w:rsidRPr="000E019F" w:rsidRDefault="0024726D" w:rsidP="0024726D">
            <w:pPr>
              <w:pStyle w:val="BodyText"/>
              <w:jc w:val="left"/>
              <w:rPr>
                <w:rFonts w:ascii="Arial" w:hAnsi="Arial" w:cs="Arial"/>
                <w:szCs w:val="20"/>
              </w:rPr>
            </w:pPr>
            <w:r>
              <w:rPr>
                <w:rFonts w:ascii="Arial" w:hAnsi="Arial" w:cs="Arial"/>
                <w:szCs w:val="20"/>
              </w:rPr>
              <w:t>No comment</w:t>
            </w:r>
            <w:r w:rsidR="00B75142">
              <w:rPr>
                <w:rFonts w:ascii="Arial" w:hAnsi="Arial" w:cs="Arial"/>
                <w:szCs w:val="20"/>
              </w:rPr>
              <w:t xml:space="preserve"> at this time.</w:t>
            </w:r>
          </w:p>
        </w:tc>
      </w:tr>
      <w:tr w:rsidR="0024726D" w:rsidRPr="000E019F" w14:paraId="723BDD2E" w14:textId="77777777" w:rsidTr="0024726D">
        <w:tc>
          <w:tcPr>
            <w:tcW w:w="562" w:type="dxa"/>
          </w:tcPr>
          <w:p w14:paraId="6A277704" w14:textId="6BAF45C5" w:rsidR="0024726D" w:rsidRPr="000E019F" w:rsidRDefault="0024726D" w:rsidP="0024726D">
            <w:pPr>
              <w:pStyle w:val="BodyText"/>
              <w:jc w:val="left"/>
              <w:rPr>
                <w:rFonts w:ascii="Arial" w:hAnsi="Arial" w:cs="Arial"/>
                <w:szCs w:val="20"/>
              </w:rPr>
            </w:pPr>
            <w:r>
              <w:rPr>
                <w:rFonts w:ascii="Arial" w:hAnsi="Arial" w:cs="Arial"/>
                <w:szCs w:val="20"/>
              </w:rPr>
              <w:t>5</w:t>
            </w:r>
          </w:p>
        </w:tc>
        <w:tc>
          <w:tcPr>
            <w:tcW w:w="2835" w:type="dxa"/>
          </w:tcPr>
          <w:p w14:paraId="070DB21E" w14:textId="56CBFCB0" w:rsidR="0024726D" w:rsidRPr="000E019F" w:rsidRDefault="0024726D" w:rsidP="0024726D">
            <w:pPr>
              <w:pStyle w:val="BodyText"/>
              <w:jc w:val="left"/>
              <w:rPr>
                <w:rFonts w:ascii="Arial" w:hAnsi="Arial" w:cs="Arial"/>
                <w:szCs w:val="20"/>
              </w:rPr>
            </w:pPr>
            <w:r w:rsidRPr="000E019F">
              <w:rPr>
                <w:rFonts w:ascii="Arial" w:hAnsi="Arial" w:cs="Arial"/>
                <w:szCs w:val="20"/>
              </w:rPr>
              <w:t>A site must have one, but may have many, meters</w:t>
            </w:r>
          </w:p>
        </w:tc>
        <w:tc>
          <w:tcPr>
            <w:tcW w:w="6237" w:type="dxa"/>
          </w:tcPr>
          <w:p w14:paraId="3376DE53" w14:textId="31F003A1" w:rsidR="0024726D" w:rsidRPr="000E019F" w:rsidRDefault="0024726D" w:rsidP="0024726D">
            <w:pPr>
              <w:pStyle w:val="BodyText"/>
              <w:jc w:val="left"/>
              <w:rPr>
                <w:rFonts w:ascii="Arial" w:hAnsi="Arial" w:cs="Arial"/>
                <w:szCs w:val="20"/>
              </w:rPr>
            </w:pPr>
            <w:r>
              <w:rPr>
                <w:rFonts w:ascii="Arial" w:hAnsi="Arial" w:cs="Arial"/>
                <w:szCs w:val="20"/>
              </w:rPr>
              <w:t>No comment</w:t>
            </w:r>
            <w:r w:rsidR="00B75142">
              <w:rPr>
                <w:rFonts w:ascii="Arial" w:hAnsi="Arial" w:cs="Arial"/>
                <w:szCs w:val="20"/>
              </w:rPr>
              <w:t xml:space="preserve"> at this time</w:t>
            </w:r>
          </w:p>
        </w:tc>
      </w:tr>
      <w:tr w:rsidR="0024726D" w:rsidRPr="000E019F" w14:paraId="3E288F35" w14:textId="77777777" w:rsidTr="0024726D">
        <w:tc>
          <w:tcPr>
            <w:tcW w:w="562" w:type="dxa"/>
          </w:tcPr>
          <w:p w14:paraId="7DA13567" w14:textId="4D1E659C" w:rsidR="0024726D" w:rsidRPr="000E019F" w:rsidRDefault="0024726D" w:rsidP="0024726D">
            <w:pPr>
              <w:pStyle w:val="BodyText"/>
              <w:jc w:val="left"/>
              <w:rPr>
                <w:rFonts w:ascii="Arial" w:hAnsi="Arial" w:cs="Arial"/>
                <w:szCs w:val="20"/>
              </w:rPr>
            </w:pPr>
            <w:r>
              <w:rPr>
                <w:rFonts w:ascii="Arial" w:hAnsi="Arial" w:cs="Arial"/>
                <w:szCs w:val="20"/>
              </w:rPr>
              <w:t>6</w:t>
            </w:r>
          </w:p>
        </w:tc>
        <w:tc>
          <w:tcPr>
            <w:tcW w:w="2835" w:type="dxa"/>
          </w:tcPr>
          <w:p w14:paraId="2C8AAED3" w14:textId="6AA9D25D" w:rsidR="0024726D" w:rsidRPr="000E019F" w:rsidRDefault="0024726D" w:rsidP="0024726D">
            <w:pPr>
              <w:pStyle w:val="BodyText"/>
              <w:jc w:val="left"/>
              <w:rPr>
                <w:rFonts w:ascii="Arial" w:hAnsi="Arial" w:cs="Arial"/>
                <w:szCs w:val="20"/>
              </w:rPr>
            </w:pPr>
            <w:r w:rsidRPr="000E019F">
              <w:rPr>
                <w:rFonts w:ascii="Arial" w:hAnsi="Arial" w:cs="Arial"/>
                <w:szCs w:val="20"/>
              </w:rPr>
              <w:t>All distributed energy resources are linked to one, and only one, site</w:t>
            </w:r>
          </w:p>
        </w:tc>
        <w:tc>
          <w:tcPr>
            <w:tcW w:w="6237" w:type="dxa"/>
          </w:tcPr>
          <w:p w14:paraId="5F61989C" w14:textId="0FF81F3E" w:rsidR="0024726D" w:rsidRPr="000E019F" w:rsidRDefault="0024726D" w:rsidP="0024726D">
            <w:pPr>
              <w:pStyle w:val="BodyText"/>
              <w:jc w:val="left"/>
              <w:rPr>
                <w:rFonts w:ascii="Arial" w:hAnsi="Arial" w:cs="Arial"/>
                <w:szCs w:val="20"/>
              </w:rPr>
            </w:pPr>
            <w:r w:rsidRPr="000E019F">
              <w:rPr>
                <w:rFonts w:ascii="Arial" w:hAnsi="Arial" w:cs="Arial"/>
                <w:szCs w:val="20"/>
              </w:rPr>
              <w:t>This needs to be tested further.  The use of ‘site’ is being interchanged with ‘NMI’ and it’s confusing.  A customer may have multiple NMIs at a site and the DER linked to each of the NMIs (</w:t>
            </w:r>
            <w:proofErr w:type="spellStart"/>
            <w:r w:rsidRPr="000E019F">
              <w:rPr>
                <w:rFonts w:ascii="Arial" w:hAnsi="Arial" w:cs="Arial"/>
                <w:szCs w:val="20"/>
              </w:rPr>
              <w:t>ie</w:t>
            </w:r>
            <w:proofErr w:type="spellEnd"/>
            <w:r w:rsidRPr="000E019F">
              <w:rPr>
                <w:rFonts w:ascii="Arial" w:hAnsi="Arial" w:cs="Arial"/>
                <w:szCs w:val="20"/>
              </w:rPr>
              <w:t xml:space="preserve"> battery and solar) if the customer has them attached to different NMIs at the one site.  There could also be multiple customers at the one site that each have DER which would mean the above assumption is not correct.</w:t>
            </w:r>
          </w:p>
        </w:tc>
      </w:tr>
      <w:tr w:rsidR="0024726D" w:rsidRPr="000E019F" w14:paraId="69EEB70C" w14:textId="77777777" w:rsidTr="0024726D">
        <w:tc>
          <w:tcPr>
            <w:tcW w:w="562" w:type="dxa"/>
          </w:tcPr>
          <w:p w14:paraId="350ACBBB" w14:textId="2EB30504" w:rsidR="0024726D" w:rsidRPr="000E019F" w:rsidRDefault="0024726D" w:rsidP="0024726D">
            <w:pPr>
              <w:pStyle w:val="BodyText"/>
              <w:jc w:val="left"/>
              <w:rPr>
                <w:rFonts w:ascii="Arial" w:hAnsi="Arial" w:cs="Arial"/>
                <w:szCs w:val="20"/>
              </w:rPr>
            </w:pPr>
            <w:r>
              <w:rPr>
                <w:rFonts w:ascii="Arial" w:hAnsi="Arial" w:cs="Arial"/>
                <w:szCs w:val="20"/>
              </w:rPr>
              <w:t>7</w:t>
            </w:r>
          </w:p>
        </w:tc>
        <w:tc>
          <w:tcPr>
            <w:tcW w:w="2835" w:type="dxa"/>
          </w:tcPr>
          <w:p w14:paraId="7A3698DA" w14:textId="42E76EFD" w:rsidR="0024726D" w:rsidRPr="000E019F" w:rsidRDefault="0024726D" w:rsidP="0024726D">
            <w:pPr>
              <w:pStyle w:val="BodyText"/>
              <w:jc w:val="left"/>
              <w:rPr>
                <w:rFonts w:ascii="Arial" w:hAnsi="Arial" w:cs="Arial"/>
                <w:szCs w:val="20"/>
              </w:rPr>
            </w:pPr>
            <w:r w:rsidRPr="000E019F">
              <w:rPr>
                <w:rFonts w:ascii="Arial" w:hAnsi="Arial" w:cs="Arial"/>
                <w:szCs w:val="20"/>
              </w:rPr>
              <w:t>Usage data is attributable to one, and only one, site</w:t>
            </w:r>
          </w:p>
        </w:tc>
        <w:tc>
          <w:tcPr>
            <w:tcW w:w="6237" w:type="dxa"/>
          </w:tcPr>
          <w:p w14:paraId="1B92CDD2" w14:textId="0B8EF3B2" w:rsidR="0024726D" w:rsidRPr="008174E4" w:rsidRDefault="00B75142" w:rsidP="0024726D">
            <w:pPr>
              <w:pStyle w:val="BodyText"/>
              <w:jc w:val="left"/>
              <w:rPr>
                <w:rFonts w:ascii="Arial" w:hAnsi="Arial" w:cs="Arial"/>
                <w:szCs w:val="20"/>
              </w:rPr>
            </w:pPr>
            <w:r>
              <w:rPr>
                <w:rFonts w:ascii="Arial" w:hAnsi="Arial" w:cs="Arial"/>
                <w:szCs w:val="20"/>
              </w:rPr>
              <w:t>See comments above regarding the use of sites.  There may be situations where usage spans over a number of sites.  We will need a clear definition of ‘site’ in order to comment on this.</w:t>
            </w:r>
          </w:p>
        </w:tc>
      </w:tr>
      <w:tr w:rsidR="0024726D" w:rsidRPr="000E019F" w14:paraId="4C40F4BF" w14:textId="77777777" w:rsidTr="0024726D">
        <w:tc>
          <w:tcPr>
            <w:tcW w:w="562" w:type="dxa"/>
          </w:tcPr>
          <w:p w14:paraId="05F12553" w14:textId="7BCBBFC1" w:rsidR="0024726D" w:rsidRPr="000E019F" w:rsidRDefault="0024726D" w:rsidP="0024726D">
            <w:pPr>
              <w:pStyle w:val="BodyText"/>
              <w:jc w:val="left"/>
              <w:rPr>
                <w:rFonts w:ascii="Arial" w:hAnsi="Arial" w:cs="Arial"/>
                <w:szCs w:val="20"/>
              </w:rPr>
            </w:pPr>
            <w:r>
              <w:rPr>
                <w:rFonts w:ascii="Arial" w:hAnsi="Arial" w:cs="Arial"/>
                <w:szCs w:val="20"/>
              </w:rPr>
              <w:t>8</w:t>
            </w:r>
          </w:p>
        </w:tc>
        <w:tc>
          <w:tcPr>
            <w:tcW w:w="2835" w:type="dxa"/>
          </w:tcPr>
          <w:p w14:paraId="0F318C17" w14:textId="4399B45B" w:rsidR="0024726D" w:rsidRPr="000E019F" w:rsidRDefault="0024726D" w:rsidP="0024726D">
            <w:pPr>
              <w:pStyle w:val="BodyText"/>
              <w:jc w:val="left"/>
              <w:rPr>
                <w:rFonts w:ascii="Arial" w:hAnsi="Arial" w:cs="Arial"/>
                <w:szCs w:val="20"/>
              </w:rPr>
            </w:pPr>
            <w:r w:rsidRPr="000E019F">
              <w:rPr>
                <w:rFonts w:ascii="Arial" w:hAnsi="Arial" w:cs="Arial"/>
                <w:szCs w:val="20"/>
              </w:rPr>
              <w:t>Billing charges are attributable to one, and only one, contracted plan</w:t>
            </w:r>
          </w:p>
        </w:tc>
        <w:tc>
          <w:tcPr>
            <w:tcW w:w="6237" w:type="dxa"/>
          </w:tcPr>
          <w:p w14:paraId="7AD804E6" w14:textId="767E1A5D" w:rsidR="0024726D" w:rsidRPr="008174E4" w:rsidRDefault="00B75142" w:rsidP="00B75142">
            <w:pPr>
              <w:pStyle w:val="BodyText"/>
              <w:jc w:val="left"/>
              <w:rPr>
                <w:rFonts w:ascii="Arial" w:hAnsi="Arial" w:cs="Arial"/>
                <w:szCs w:val="20"/>
              </w:rPr>
            </w:pPr>
            <w:r>
              <w:rPr>
                <w:rFonts w:ascii="Arial" w:hAnsi="Arial" w:cs="Arial"/>
                <w:szCs w:val="20"/>
              </w:rPr>
              <w:t>No comments at this time</w:t>
            </w:r>
          </w:p>
        </w:tc>
      </w:tr>
      <w:tr w:rsidR="0024726D" w:rsidRPr="000E019F" w14:paraId="66057CD8" w14:textId="77777777" w:rsidTr="0024726D">
        <w:tc>
          <w:tcPr>
            <w:tcW w:w="562" w:type="dxa"/>
          </w:tcPr>
          <w:p w14:paraId="2F560CBD" w14:textId="52044BFF" w:rsidR="0024726D" w:rsidRPr="000E019F" w:rsidRDefault="0024726D" w:rsidP="0024726D">
            <w:pPr>
              <w:pStyle w:val="BodyText"/>
              <w:jc w:val="left"/>
              <w:rPr>
                <w:rFonts w:ascii="Arial" w:hAnsi="Arial" w:cs="Arial"/>
                <w:szCs w:val="20"/>
              </w:rPr>
            </w:pPr>
            <w:r>
              <w:rPr>
                <w:rFonts w:ascii="Arial" w:hAnsi="Arial" w:cs="Arial"/>
                <w:szCs w:val="20"/>
              </w:rPr>
              <w:t>9</w:t>
            </w:r>
          </w:p>
        </w:tc>
        <w:tc>
          <w:tcPr>
            <w:tcW w:w="2835" w:type="dxa"/>
          </w:tcPr>
          <w:p w14:paraId="13338E59" w14:textId="7AA8D5BB" w:rsidR="0024726D" w:rsidRPr="000E019F" w:rsidRDefault="0024726D" w:rsidP="0024726D">
            <w:pPr>
              <w:pStyle w:val="BodyText"/>
              <w:jc w:val="left"/>
              <w:rPr>
                <w:rFonts w:ascii="Arial" w:hAnsi="Arial" w:cs="Arial"/>
                <w:szCs w:val="20"/>
              </w:rPr>
            </w:pPr>
            <w:r w:rsidRPr="000E019F">
              <w:rPr>
                <w:rFonts w:ascii="Arial" w:hAnsi="Arial" w:cs="Arial"/>
                <w:szCs w:val="20"/>
              </w:rPr>
              <w:t>Billing charges may arise that are unrelated to usage (such as fees)</w:t>
            </w:r>
          </w:p>
        </w:tc>
        <w:tc>
          <w:tcPr>
            <w:tcW w:w="6237" w:type="dxa"/>
          </w:tcPr>
          <w:p w14:paraId="3BE89E16" w14:textId="7A9EF1CA" w:rsidR="0024726D" w:rsidRPr="008174E4" w:rsidRDefault="008174E4" w:rsidP="0024726D">
            <w:pPr>
              <w:pStyle w:val="BodyText"/>
              <w:jc w:val="left"/>
              <w:rPr>
                <w:rFonts w:ascii="Arial" w:hAnsi="Arial" w:cs="Arial"/>
                <w:szCs w:val="20"/>
              </w:rPr>
            </w:pPr>
            <w:r w:rsidRPr="008174E4">
              <w:rPr>
                <w:rFonts w:ascii="Arial" w:hAnsi="Arial" w:cs="Arial"/>
                <w:szCs w:val="20"/>
              </w:rPr>
              <w:t>No comment</w:t>
            </w:r>
            <w:r w:rsidR="00B75142">
              <w:rPr>
                <w:rFonts w:ascii="Arial" w:hAnsi="Arial" w:cs="Arial"/>
                <w:szCs w:val="20"/>
              </w:rPr>
              <w:t>s at this time.</w:t>
            </w:r>
          </w:p>
        </w:tc>
      </w:tr>
      <w:tr w:rsidR="0024726D" w:rsidRPr="000E019F" w14:paraId="5598C8AA" w14:textId="77777777" w:rsidTr="0024726D">
        <w:tc>
          <w:tcPr>
            <w:tcW w:w="562" w:type="dxa"/>
          </w:tcPr>
          <w:p w14:paraId="7B9355EA" w14:textId="4A86E188" w:rsidR="0024726D" w:rsidRPr="000E019F" w:rsidRDefault="0024726D" w:rsidP="0024726D">
            <w:pPr>
              <w:pStyle w:val="BodyText"/>
              <w:jc w:val="left"/>
              <w:rPr>
                <w:rFonts w:ascii="Arial" w:hAnsi="Arial" w:cs="Arial"/>
                <w:szCs w:val="20"/>
              </w:rPr>
            </w:pPr>
            <w:r>
              <w:rPr>
                <w:rFonts w:ascii="Arial" w:hAnsi="Arial" w:cs="Arial"/>
                <w:szCs w:val="20"/>
              </w:rPr>
              <w:t>10</w:t>
            </w:r>
          </w:p>
        </w:tc>
        <w:tc>
          <w:tcPr>
            <w:tcW w:w="2835" w:type="dxa"/>
          </w:tcPr>
          <w:p w14:paraId="5E53DDFA" w14:textId="3A1C5C7F" w:rsidR="0024726D" w:rsidRPr="000E019F" w:rsidRDefault="0024726D" w:rsidP="0024726D">
            <w:pPr>
              <w:pStyle w:val="BodyText"/>
              <w:jc w:val="left"/>
              <w:rPr>
                <w:rFonts w:ascii="Arial" w:hAnsi="Arial" w:cs="Arial"/>
                <w:szCs w:val="20"/>
              </w:rPr>
            </w:pPr>
            <w:r w:rsidRPr="000E019F">
              <w:rPr>
                <w:rFonts w:ascii="Arial" w:hAnsi="Arial" w:cs="Arial"/>
                <w:szCs w:val="20"/>
              </w:rPr>
              <w:t>Payments are attributable to one, and only one, customer</w:t>
            </w:r>
          </w:p>
        </w:tc>
        <w:tc>
          <w:tcPr>
            <w:tcW w:w="6237" w:type="dxa"/>
          </w:tcPr>
          <w:p w14:paraId="5277B648" w14:textId="0CA0B18A" w:rsidR="0024726D" w:rsidRPr="000E019F" w:rsidRDefault="0024726D" w:rsidP="0024726D">
            <w:pPr>
              <w:pStyle w:val="BodyText"/>
              <w:jc w:val="left"/>
              <w:rPr>
                <w:rFonts w:ascii="Arial" w:hAnsi="Arial" w:cs="Arial"/>
                <w:szCs w:val="20"/>
              </w:rPr>
            </w:pPr>
            <w:r>
              <w:rPr>
                <w:rFonts w:ascii="Arial" w:hAnsi="Arial" w:cs="Arial"/>
                <w:szCs w:val="20"/>
              </w:rPr>
              <w:t xml:space="preserve">Energy has allowances for joint account holders.  This statement </w:t>
            </w:r>
            <w:r w:rsidR="008174E4">
              <w:rPr>
                <w:rFonts w:ascii="Arial" w:hAnsi="Arial" w:cs="Arial"/>
                <w:szCs w:val="20"/>
              </w:rPr>
              <w:t xml:space="preserve">may need to be </w:t>
            </w:r>
            <w:r w:rsidR="00B75142">
              <w:rPr>
                <w:rFonts w:ascii="Arial" w:hAnsi="Arial" w:cs="Arial"/>
                <w:szCs w:val="20"/>
              </w:rPr>
              <w:t>reviewed</w:t>
            </w:r>
            <w:r w:rsidR="008174E4">
              <w:rPr>
                <w:rFonts w:ascii="Arial" w:hAnsi="Arial" w:cs="Arial"/>
                <w:szCs w:val="20"/>
              </w:rPr>
              <w:t>.</w:t>
            </w:r>
          </w:p>
        </w:tc>
      </w:tr>
      <w:tr w:rsidR="0024726D" w:rsidRPr="000E019F" w14:paraId="6D6328B8" w14:textId="77777777" w:rsidTr="0024726D">
        <w:tc>
          <w:tcPr>
            <w:tcW w:w="562" w:type="dxa"/>
          </w:tcPr>
          <w:p w14:paraId="6156F9CC" w14:textId="5C1C587D" w:rsidR="0024726D" w:rsidRPr="000E019F" w:rsidRDefault="0024726D" w:rsidP="0024726D">
            <w:pPr>
              <w:pStyle w:val="BodyText"/>
              <w:jc w:val="left"/>
              <w:rPr>
                <w:rFonts w:ascii="Arial" w:hAnsi="Arial" w:cs="Arial"/>
                <w:szCs w:val="20"/>
              </w:rPr>
            </w:pPr>
            <w:r>
              <w:rPr>
                <w:rFonts w:ascii="Arial" w:hAnsi="Arial" w:cs="Arial"/>
                <w:szCs w:val="20"/>
              </w:rPr>
              <w:lastRenderedPageBreak/>
              <w:t>11</w:t>
            </w:r>
          </w:p>
        </w:tc>
        <w:tc>
          <w:tcPr>
            <w:tcW w:w="2835" w:type="dxa"/>
          </w:tcPr>
          <w:p w14:paraId="60B9F15B" w14:textId="6D154DD3" w:rsidR="0024726D" w:rsidRPr="000E019F" w:rsidRDefault="0024726D" w:rsidP="0024726D">
            <w:pPr>
              <w:pStyle w:val="BodyText"/>
              <w:jc w:val="left"/>
              <w:rPr>
                <w:rFonts w:ascii="Arial" w:hAnsi="Arial" w:cs="Arial"/>
                <w:szCs w:val="20"/>
              </w:rPr>
            </w:pPr>
            <w:r w:rsidRPr="000E019F">
              <w:rPr>
                <w:rFonts w:ascii="Arial" w:hAnsi="Arial" w:cs="Arial"/>
                <w:szCs w:val="20"/>
              </w:rPr>
              <w:t>Current balance is attributable to one, and only one, customer</w:t>
            </w:r>
          </w:p>
        </w:tc>
        <w:tc>
          <w:tcPr>
            <w:tcW w:w="6237" w:type="dxa"/>
          </w:tcPr>
          <w:p w14:paraId="586D1FA0" w14:textId="70DAFBE5" w:rsidR="0024726D" w:rsidRPr="000E019F" w:rsidRDefault="00A401CD" w:rsidP="0024726D">
            <w:pPr>
              <w:pStyle w:val="BodyText"/>
              <w:jc w:val="left"/>
              <w:rPr>
                <w:rFonts w:ascii="Arial" w:hAnsi="Arial" w:cs="Arial"/>
                <w:szCs w:val="20"/>
              </w:rPr>
            </w:pPr>
            <w:r>
              <w:rPr>
                <w:rFonts w:ascii="Arial" w:hAnsi="Arial" w:cs="Arial"/>
                <w:szCs w:val="20"/>
              </w:rPr>
              <w:t xml:space="preserve">As above, there is an allowance for joint account holders </w:t>
            </w:r>
            <w:r w:rsidR="008174E4">
              <w:rPr>
                <w:rFonts w:ascii="Arial" w:hAnsi="Arial" w:cs="Arial"/>
                <w:szCs w:val="20"/>
              </w:rPr>
              <w:t>in energy</w:t>
            </w:r>
            <w:r>
              <w:rPr>
                <w:rFonts w:ascii="Arial" w:hAnsi="Arial" w:cs="Arial"/>
                <w:szCs w:val="20"/>
              </w:rPr>
              <w:t xml:space="preserve"> </w:t>
            </w:r>
          </w:p>
        </w:tc>
      </w:tr>
    </w:tbl>
    <w:p w14:paraId="1A19038A" w14:textId="4CA9903F" w:rsidR="000E019F" w:rsidRPr="000E019F" w:rsidRDefault="000E019F" w:rsidP="007A5A8B">
      <w:pPr>
        <w:pStyle w:val="BodyText"/>
        <w:jc w:val="left"/>
        <w:rPr>
          <w:rFonts w:ascii="Arial" w:hAnsi="Arial" w:cs="Arial"/>
          <w:szCs w:val="20"/>
        </w:rPr>
      </w:pPr>
    </w:p>
    <w:p w14:paraId="7349BF63" w14:textId="0BC7AF49" w:rsidR="004E63B0" w:rsidRDefault="00446641" w:rsidP="004E63B0">
      <w:pPr>
        <w:pStyle w:val="BodyText"/>
        <w:jc w:val="left"/>
        <w:rPr>
          <w:rFonts w:ascii="Arial" w:hAnsi="Arial" w:cs="Arial"/>
          <w:szCs w:val="20"/>
        </w:rPr>
      </w:pPr>
      <w:r w:rsidRPr="00446641">
        <w:rPr>
          <w:rFonts w:ascii="Arial" w:hAnsi="Arial" w:cs="Arial"/>
          <w:szCs w:val="20"/>
        </w:rPr>
        <w:t xml:space="preserve">Further, the DSB make a comment in the detailed section on end points for each of the assumptions that it is expected that </w:t>
      </w:r>
      <w:r w:rsidR="00F904F6">
        <w:rPr>
          <w:rFonts w:ascii="Arial" w:hAnsi="Arial" w:cs="Arial"/>
          <w:szCs w:val="20"/>
        </w:rPr>
        <w:t>“</w:t>
      </w:r>
      <w:r w:rsidRPr="00446641">
        <w:rPr>
          <w:rFonts w:ascii="Arial" w:hAnsi="Arial" w:cs="Arial"/>
          <w:szCs w:val="20"/>
        </w:rPr>
        <w:t>only a single account per customer exists</w:t>
      </w:r>
      <w:r w:rsidR="00F904F6">
        <w:rPr>
          <w:rFonts w:ascii="Arial" w:hAnsi="Arial" w:cs="Arial"/>
          <w:szCs w:val="20"/>
        </w:rPr>
        <w:t>”</w:t>
      </w:r>
      <w:r w:rsidRPr="00446641">
        <w:rPr>
          <w:rFonts w:ascii="Arial" w:hAnsi="Arial" w:cs="Arial"/>
          <w:szCs w:val="20"/>
        </w:rPr>
        <w:t xml:space="preserve">.  </w:t>
      </w:r>
      <w:r>
        <w:rPr>
          <w:rFonts w:ascii="Arial" w:hAnsi="Arial" w:cs="Arial"/>
          <w:szCs w:val="20"/>
        </w:rPr>
        <w:t xml:space="preserve">We wish to highlight that a </w:t>
      </w:r>
      <w:r w:rsidR="00473613">
        <w:rPr>
          <w:rFonts w:ascii="Arial" w:hAnsi="Arial" w:cs="Arial"/>
          <w:szCs w:val="20"/>
        </w:rPr>
        <w:t xml:space="preserve">customer may have multiple accounts.  Accounts are not unique to a customer.  If a customer </w:t>
      </w:r>
      <w:r w:rsidR="004A03D8">
        <w:rPr>
          <w:rFonts w:ascii="Arial" w:hAnsi="Arial" w:cs="Arial"/>
          <w:szCs w:val="20"/>
        </w:rPr>
        <w:t xml:space="preserve">moves between standing and market offers, a new account may be established.  If the customer moves between products and offers with the same retailer, a new account may be established.  </w:t>
      </w:r>
      <w:r>
        <w:rPr>
          <w:rFonts w:ascii="Arial" w:hAnsi="Arial" w:cs="Arial"/>
          <w:szCs w:val="20"/>
        </w:rPr>
        <w:t>This assumption needs to be tested further.</w:t>
      </w:r>
    </w:p>
    <w:p w14:paraId="069C472F" w14:textId="34638A60" w:rsidR="00B75142" w:rsidRDefault="00B75142" w:rsidP="004E63B0">
      <w:pPr>
        <w:pStyle w:val="BodyText"/>
        <w:jc w:val="left"/>
        <w:rPr>
          <w:rFonts w:ascii="Arial" w:hAnsi="Arial" w:cs="Arial"/>
          <w:szCs w:val="20"/>
        </w:rPr>
      </w:pPr>
    </w:p>
    <w:p w14:paraId="12C23262" w14:textId="7E6D7254" w:rsidR="00B75142" w:rsidRDefault="00B75142" w:rsidP="00B75142">
      <w:pPr>
        <w:pStyle w:val="BodyText"/>
        <w:jc w:val="left"/>
      </w:pPr>
      <w:r>
        <w:t xml:space="preserve">It is also not clear to Origin how the generic and tailored plan data sets will be dealt with.  </w:t>
      </w:r>
      <w:r w:rsidR="00095A54">
        <w:t>T</w:t>
      </w:r>
      <w:r>
        <w:t>ariff structures and pricing arrangements</w:t>
      </w:r>
      <w:r w:rsidR="00095A54">
        <w:t xml:space="preserve"> vary per retailer, per state, per distribution area and per customer class (small, medium, large and industrial)</w:t>
      </w:r>
      <w:r>
        <w:t xml:space="preserve">. </w:t>
      </w:r>
      <w:r w:rsidR="00095A54">
        <w:t>For example, t</w:t>
      </w:r>
      <w:r>
        <w:t xml:space="preserve">he tariff arrangements for some Queensland customers are not aligned with the rest of the country in the fact that there </w:t>
      </w:r>
      <w:r w:rsidR="00155183">
        <w:t>is</w:t>
      </w:r>
      <w:r>
        <w:t xml:space="preserve"> a subset of Queensland customers attached the NSW distribution network</w:t>
      </w:r>
      <w:r w:rsidR="00095A54">
        <w:t xml:space="preserve">, </w:t>
      </w:r>
      <w:r>
        <w:t>but billed Qld retail prices</w:t>
      </w:r>
      <w:r w:rsidR="00095A54">
        <w:t xml:space="preserve"> with NSW underlying network charges.  </w:t>
      </w:r>
      <w:r w:rsidR="002A6CD6">
        <w:t xml:space="preserve">Further, Victoria operates under a separate pricing arrangement to the rest of the National Electricity Market (NEM).  </w:t>
      </w:r>
      <w:r w:rsidR="00095A54">
        <w:t xml:space="preserve">It is unclear </w:t>
      </w:r>
      <w:r w:rsidR="002A6CD6">
        <w:t>in</w:t>
      </w:r>
      <w:r w:rsidR="00095A54">
        <w:t xml:space="preserve"> the paper whether “tariff data” is bundled into “billing charges” or there will be a separate consultation on this issue.  </w:t>
      </w:r>
      <w:r w:rsidR="002A6CD6">
        <w:t xml:space="preserve">“Tariff data” and “billing charges” are </w:t>
      </w:r>
      <w:r w:rsidR="00095A54">
        <w:t>separate data sets and need to be dealt with in a separate manner.</w:t>
      </w:r>
    </w:p>
    <w:p w14:paraId="69C05678" w14:textId="3010E72B" w:rsidR="00B75142" w:rsidRDefault="00B75142" w:rsidP="004E63B0">
      <w:pPr>
        <w:pStyle w:val="BodyText"/>
        <w:jc w:val="left"/>
        <w:rPr>
          <w:rFonts w:ascii="DINPro-Light" w:eastAsia="Calibri" w:hAnsi="DINPro-Light" w:cs="Open Sans"/>
          <w:color w:val="000000"/>
          <w:sz w:val="18"/>
          <w:szCs w:val="18"/>
          <w:lang w:val="en-US"/>
        </w:rPr>
      </w:pPr>
    </w:p>
    <w:p w14:paraId="13812681" w14:textId="5CAEDA16" w:rsidR="00D3462B" w:rsidRDefault="00D3462B" w:rsidP="004E63B0">
      <w:pPr>
        <w:pStyle w:val="BodyText"/>
        <w:jc w:val="left"/>
        <w:rPr>
          <w:rFonts w:ascii="DINPro-Light" w:eastAsia="Calibri" w:hAnsi="DINPro-Light" w:cs="Open Sans"/>
          <w:color w:val="000000"/>
          <w:sz w:val="18"/>
          <w:szCs w:val="18"/>
          <w:lang w:val="en-US"/>
        </w:rPr>
      </w:pPr>
    </w:p>
    <w:p w14:paraId="3AF152D0" w14:textId="74775C06" w:rsidR="00D3462B" w:rsidRPr="00D3462B" w:rsidRDefault="00D3462B" w:rsidP="004E63B0">
      <w:pPr>
        <w:pStyle w:val="BodyText"/>
        <w:jc w:val="left"/>
        <w:rPr>
          <w:rFonts w:ascii="DINPro-Light" w:eastAsia="Calibri" w:hAnsi="DINPro-Light" w:cs="Open Sans"/>
          <w:b/>
          <w:bCs/>
          <w:color w:val="000000"/>
          <w:sz w:val="18"/>
          <w:szCs w:val="18"/>
          <w:lang w:val="en-US"/>
        </w:rPr>
      </w:pPr>
      <w:r w:rsidRPr="00D3462B">
        <w:rPr>
          <w:rFonts w:ascii="DINPro-Light" w:eastAsia="Calibri" w:hAnsi="DINPro-Light" w:cs="Open Sans"/>
          <w:b/>
          <w:bCs/>
          <w:color w:val="000000"/>
          <w:sz w:val="18"/>
          <w:szCs w:val="18"/>
          <w:lang w:val="en-US"/>
        </w:rPr>
        <w:t>Technical Comments:</w:t>
      </w:r>
    </w:p>
    <w:p w14:paraId="4D0DEF8A" w14:textId="77777777" w:rsidR="00D3462B" w:rsidRDefault="00D3462B" w:rsidP="00D3462B">
      <w:pPr>
        <w:pStyle w:val="BodyText"/>
        <w:rPr>
          <w:rFonts w:ascii="DINPro-Light" w:eastAsia="Calibri" w:hAnsi="DINPro-Light" w:cs="Open Sans"/>
          <w:color w:val="000000"/>
          <w:sz w:val="18"/>
          <w:szCs w:val="18"/>
          <w:lang w:val="en-US"/>
        </w:rPr>
      </w:pPr>
    </w:p>
    <w:p w14:paraId="32A4D8FB" w14:textId="53D5D309" w:rsidR="00D3462B" w:rsidRPr="00D3462B" w:rsidRDefault="00D3462B" w:rsidP="00D3462B">
      <w:pPr>
        <w:pStyle w:val="BodyText"/>
        <w:numPr>
          <w:ilvl w:val="0"/>
          <w:numId w:val="31"/>
        </w:numPr>
        <w:rPr>
          <w:rFonts w:ascii="DINPro-Light" w:eastAsia="Calibri" w:hAnsi="DINPro-Light" w:cs="Open Sans"/>
          <w:color w:val="000000"/>
          <w:sz w:val="18"/>
          <w:szCs w:val="18"/>
        </w:rPr>
      </w:pPr>
      <w:r w:rsidRPr="00D3462B">
        <w:rPr>
          <w:rFonts w:ascii="DINPro-Light" w:eastAsia="Calibri" w:hAnsi="DINPro-Light" w:cs="Open Sans"/>
          <w:color w:val="000000"/>
          <w:sz w:val="18"/>
          <w:szCs w:val="18"/>
        </w:rPr>
        <w:t xml:space="preserve">Response/ Request Structures of the API calls need to be standardized for design level discussions.  </w:t>
      </w:r>
    </w:p>
    <w:p w14:paraId="74953F16" w14:textId="77777777" w:rsidR="00D3462B" w:rsidRDefault="00D3462B" w:rsidP="00D3462B">
      <w:pPr>
        <w:pStyle w:val="BodyText"/>
        <w:rPr>
          <w:rFonts w:ascii="DINPro-Light" w:eastAsia="Calibri" w:hAnsi="DINPro-Light" w:cs="Open Sans"/>
          <w:color w:val="000000"/>
          <w:sz w:val="18"/>
          <w:szCs w:val="18"/>
        </w:rPr>
      </w:pPr>
    </w:p>
    <w:p w14:paraId="7924D997" w14:textId="25AB9164" w:rsidR="00D3462B" w:rsidRDefault="00D3462B" w:rsidP="00D3462B">
      <w:pPr>
        <w:pStyle w:val="BodyText"/>
        <w:numPr>
          <w:ilvl w:val="0"/>
          <w:numId w:val="31"/>
        </w:numPr>
        <w:rPr>
          <w:rFonts w:ascii="DINPro-Light" w:eastAsia="Calibri" w:hAnsi="DINPro-Light" w:cs="Open Sans"/>
          <w:color w:val="000000"/>
          <w:sz w:val="18"/>
          <w:szCs w:val="18"/>
        </w:rPr>
      </w:pPr>
      <w:r w:rsidRPr="00D3462B">
        <w:rPr>
          <w:rFonts w:ascii="DINPro-Light" w:eastAsia="Calibri" w:hAnsi="DINPro-Light" w:cs="Open Sans"/>
          <w:color w:val="000000"/>
          <w:sz w:val="18"/>
          <w:szCs w:val="18"/>
        </w:rPr>
        <w:t xml:space="preserve">Need to add security authentication </w:t>
      </w:r>
      <w:r>
        <w:rPr>
          <w:rFonts w:ascii="DINPro-Light" w:eastAsia="Calibri" w:hAnsi="DINPro-Light" w:cs="Open Sans"/>
          <w:color w:val="000000"/>
          <w:sz w:val="18"/>
          <w:szCs w:val="18"/>
        </w:rPr>
        <w:t xml:space="preserve">standards </w:t>
      </w:r>
      <w:r w:rsidRPr="00D3462B">
        <w:rPr>
          <w:rFonts w:ascii="DINPro-Light" w:eastAsia="Calibri" w:hAnsi="DINPro-Light" w:cs="Open Sans"/>
          <w:color w:val="000000"/>
          <w:sz w:val="18"/>
          <w:szCs w:val="18"/>
        </w:rPr>
        <w:t>for API Calls</w:t>
      </w:r>
      <w:r>
        <w:rPr>
          <w:rFonts w:ascii="DINPro-Light" w:eastAsia="Calibri" w:hAnsi="DINPro-Light" w:cs="Open Sans"/>
          <w:color w:val="000000"/>
          <w:sz w:val="18"/>
          <w:szCs w:val="18"/>
        </w:rPr>
        <w:t xml:space="preserve"> and data access.</w:t>
      </w:r>
    </w:p>
    <w:p w14:paraId="4BC96CE0" w14:textId="09629A68" w:rsidR="00D3462B" w:rsidRDefault="00D3462B" w:rsidP="00D3462B">
      <w:pPr>
        <w:pStyle w:val="BodyText"/>
        <w:rPr>
          <w:rFonts w:ascii="DINPro-Light" w:eastAsia="Calibri" w:hAnsi="DINPro-Light" w:cs="Open Sans"/>
          <w:color w:val="000000"/>
          <w:sz w:val="18"/>
          <w:szCs w:val="18"/>
        </w:rPr>
      </w:pPr>
    </w:p>
    <w:p w14:paraId="26CA30C5" w14:textId="7F154759" w:rsidR="00D3462B" w:rsidRDefault="00D3462B" w:rsidP="00D3462B">
      <w:pPr>
        <w:pStyle w:val="BodyText"/>
        <w:numPr>
          <w:ilvl w:val="0"/>
          <w:numId w:val="31"/>
        </w:numPr>
        <w:rPr>
          <w:rFonts w:ascii="DINPro-Light" w:eastAsia="Calibri" w:hAnsi="DINPro-Light" w:cs="Open Sans"/>
          <w:color w:val="000000"/>
          <w:sz w:val="18"/>
          <w:szCs w:val="18"/>
        </w:rPr>
      </w:pPr>
      <w:r>
        <w:rPr>
          <w:rFonts w:ascii="DINPro-Light" w:eastAsia="Calibri" w:hAnsi="DINPro-Light" w:cs="Open Sans"/>
          <w:color w:val="000000"/>
          <w:sz w:val="18"/>
          <w:szCs w:val="18"/>
        </w:rPr>
        <w:t xml:space="preserve">Are we adding API standards around testing, documentation, automation, versioning </w:t>
      </w:r>
      <w:proofErr w:type="gramStart"/>
      <w:r>
        <w:rPr>
          <w:rFonts w:ascii="DINPro-Light" w:eastAsia="Calibri" w:hAnsi="DINPro-Light" w:cs="Open Sans"/>
          <w:color w:val="000000"/>
          <w:sz w:val="18"/>
          <w:szCs w:val="18"/>
        </w:rPr>
        <w:t>etc ?</w:t>
      </w:r>
      <w:proofErr w:type="gramEnd"/>
    </w:p>
    <w:p w14:paraId="4D727FD8" w14:textId="77777777" w:rsidR="00D3462B" w:rsidRDefault="00D3462B" w:rsidP="00D3462B">
      <w:pPr>
        <w:pStyle w:val="BodyText"/>
        <w:rPr>
          <w:rFonts w:ascii="DINPro-Light" w:eastAsia="Calibri" w:hAnsi="DINPro-Light" w:cs="Open Sans"/>
          <w:color w:val="000000"/>
          <w:sz w:val="18"/>
          <w:szCs w:val="18"/>
        </w:rPr>
      </w:pPr>
    </w:p>
    <w:p w14:paraId="1521A11A" w14:textId="5A8C5168" w:rsidR="00D3462B" w:rsidRPr="00D3462B" w:rsidRDefault="00D3462B" w:rsidP="00D3462B">
      <w:pPr>
        <w:pStyle w:val="BodyText"/>
        <w:numPr>
          <w:ilvl w:val="0"/>
          <w:numId w:val="31"/>
        </w:numPr>
        <w:rPr>
          <w:rFonts w:ascii="DINPro-Light" w:eastAsia="Calibri" w:hAnsi="DINPro-Light" w:cs="Open Sans"/>
          <w:color w:val="000000"/>
          <w:sz w:val="18"/>
          <w:szCs w:val="18"/>
        </w:rPr>
      </w:pPr>
      <w:r>
        <w:rPr>
          <w:rFonts w:ascii="DINPro-Light" w:eastAsia="Calibri" w:hAnsi="DINPro-Light" w:cs="Open Sans"/>
          <w:color w:val="000000"/>
          <w:sz w:val="18"/>
          <w:szCs w:val="18"/>
        </w:rPr>
        <w:t xml:space="preserve">Is there a decision register for architecture or design choices that are being reviewed and agreed </w:t>
      </w:r>
      <w:proofErr w:type="gramStart"/>
      <w:r>
        <w:rPr>
          <w:rFonts w:ascii="DINPro-Light" w:eastAsia="Calibri" w:hAnsi="DINPro-Light" w:cs="Open Sans"/>
          <w:color w:val="000000"/>
          <w:sz w:val="18"/>
          <w:szCs w:val="18"/>
        </w:rPr>
        <w:t>upon</w:t>
      </w:r>
      <w:proofErr w:type="gramEnd"/>
    </w:p>
    <w:p w14:paraId="4900933B" w14:textId="5FB2DC58" w:rsidR="00D3462B" w:rsidRDefault="00D3462B" w:rsidP="004E63B0">
      <w:pPr>
        <w:pStyle w:val="BodyText"/>
        <w:jc w:val="left"/>
        <w:rPr>
          <w:rFonts w:ascii="DINPro-Light" w:eastAsia="Calibri" w:hAnsi="DINPro-Light" w:cs="Open Sans"/>
          <w:color w:val="000000"/>
          <w:sz w:val="18"/>
          <w:szCs w:val="18"/>
          <w:lang w:val="en-US"/>
        </w:rPr>
      </w:pPr>
    </w:p>
    <w:p w14:paraId="6BBBF967" w14:textId="70036318" w:rsidR="00D3462B" w:rsidRDefault="00D3462B" w:rsidP="00D3462B">
      <w:pPr>
        <w:pStyle w:val="BodyText"/>
        <w:numPr>
          <w:ilvl w:val="0"/>
          <w:numId w:val="31"/>
        </w:numPr>
        <w:jc w:val="left"/>
        <w:rPr>
          <w:rFonts w:ascii="DINPro-Light" w:eastAsia="Calibri" w:hAnsi="DINPro-Light" w:cs="Open Sans"/>
          <w:color w:val="000000"/>
          <w:sz w:val="18"/>
          <w:szCs w:val="18"/>
          <w:lang w:val="en-US"/>
        </w:rPr>
      </w:pPr>
      <w:r>
        <w:rPr>
          <w:rFonts w:ascii="DINPro-Light" w:eastAsia="Calibri" w:hAnsi="DINPro-Light" w:cs="Open Sans"/>
          <w:color w:val="000000"/>
          <w:sz w:val="18"/>
          <w:szCs w:val="18"/>
          <w:lang w:val="en-US"/>
        </w:rPr>
        <w:t>Do the API standards cover 3</w:t>
      </w:r>
      <w:r w:rsidRPr="00D3462B">
        <w:rPr>
          <w:rFonts w:ascii="DINPro-Light" w:eastAsia="Calibri" w:hAnsi="DINPro-Light" w:cs="Open Sans"/>
          <w:color w:val="000000"/>
          <w:sz w:val="18"/>
          <w:szCs w:val="18"/>
          <w:vertAlign w:val="superscript"/>
          <w:lang w:val="en-US"/>
        </w:rPr>
        <w:t>rd</w:t>
      </w:r>
      <w:r>
        <w:rPr>
          <w:rFonts w:ascii="DINPro-Light" w:eastAsia="Calibri" w:hAnsi="DINPro-Light" w:cs="Open Sans"/>
          <w:color w:val="000000"/>
          <w:sz w:val="18"/>
          <w:szCs w:val="18"/>
          <w:lang w:val="en-US"/>
        </w:rPr>
        <w:t xml:space="preserve"> party to AEMO and AEMO to </w:t>
      </w:r>
      <w:proofErr w:type="gramStart"/>
      <w:r>
        <w:rPr>
          <w:rFonts w:ascii="DINPro-Light" w:eastAsia="Calibri" w:hAnsi="DINPro-Light" w:cs="Open Sans"/>
          <w:color w:val="000000"/>
          <w:sz w:val="18"/>
          <w:szCs w:val="18"/>
          <w:lang w:val="en-US"/>
        </w:rPr>
        <w:t>retailer ?</w:t>
      </w:r>
      <w:proofErr w:type="gramEnd"/>
    </w:p>
    <w:p w14:paraId="4CFD7E2A" w14:textId="33DDE135" w:rsidR="00D3462B" w:rsidRDefault="00D3462B" w:rsidP="004E63B0">
      <w:pPr>
        <w:pStyle w:val="BodyText"/>
        <w:jc w:val="left"/>
        <w:rPr>
          <w:rFonts w:ascii="DINPro-Light" w:eastAsia="Calibri" w:hAnsi="DINPro-Light" w:cs="Open Sans"/>
          <w:color w:val="000000"/>
          <w:sz w:val="18"/>
          <w:szCs w:val="18"/>
          <w:lang w:val="en-US"/>
        </w:rPr>
      </w:pPr>
    </w:p>
    <w:p w14:paraId="621580D3" w14:textId="3905089C" w:rsidR="00D3462B" w:rsidRDefault="00D3462B" w:rsidP="00D3462B">
      <w:pPr>
        <w:pStyle w:val="BodyText"/>
        <w:numPr>
          <w:ilvl w:val="0"/>
          <w:numId w:val="31"/>
        </w:numPr>
        <w:jc w:val="left"/>
        <w:rPr>
          <w:rFonts w:ascii="DINPro-Light" w:eastAsia="Calibri" w:hAnsi="DINPro-Light" w:cs="Open Sans"/>
          <w:color w:val="000000"/>
          <w:sz w:val="18"/>
          <w:szCs w:val="18"/>
          <w:lang w:val="en-US"/>
        </w:rPr>
      </w:pPr>
      <w:r>
        <w:rPr>
          <w:rFonts w:ascii="DINPro-Light" w:eastAsia="Calibri" w:hAnsi="DINPro-Light" w:cs="Open Sans"/>
          <w:color w:val="000000"/>
          <w:sz w:val="18"/>
          <w:szCs w:val="18"/>
          <w:lang w:val="en-US"/>
        </w:rPr>
        <w:t>Is there any further documentation around what Energy industry assumptions have been made and haw have these assumptions been validated?</w:t>
      </w:r>
    </w:p>
    <w:sectPr w:rsidR="00D3462B" w:rsidSect="00F3339B">
      <w:headerReference w:type="even" r:id="rId12"/>
      <w:headerReference w:type="default" r:id="rId13"/>
      <w:footerReference w:type="even" r:id="rId14"/>
      <w:footerReference w:type="default" r:id="rId15"/>
      <w:headerReference w:type="first" r:id="rId16"/>
      <w:footerReference w:type="first" r:id="rId17"/>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0CEC7" w14:textId="77777777" w:rsidR="00E9675D" w:rsidRDefault="00E9675D" w:rsidP="00895C25">
      <w:r>
        <w:separator/>
      </w:r>
    </w:p>
    <w:p w14:paraId="2D796ECD" w14:textId="77777777" w:rsidR="00E9675D" w:rsidRDefault="00E9675D"/>
  </w:endnote>
  <w:endnote w:type="continuationSeparator" w:id="0">
    <w:p w14:paraId="5DB61BC7" w14:textId="77777777" w:rsidR="00E9675D" w:rsidRDefault="00E9675D" w:rsidP="00895C25">
      <w:r>
        <w:continuationSeparator/>
      </w:r>
    </w:p>
    <w:p w14:paraId="2E5481F4" w14:textId="77777777" w:rsidR="00E9675D" w:rsidRDefault="00E9675D"/>
  </w:endnote>
  <w:endnote w:type="continuationNotice" w:id="1">
    <w:p w14:paraId="5076F89E" w14:textId="77777777" w:rsidR="00E9675D" w:rsidRDefault="00E96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DINPro-Light">
    <w:altName w:val="Arial"/>
    <w:panose1 w:val="020B0604020202020204"/>
    <w:charset w:val="00"/>
    <w:family w:val="swiss"/>
    <w:notTrueType/>
    <w:pitch w:val="variable"/>
    <w:sig w:usb0="A00002BF" w:usb1="4000207B" w:usb2="00000008" w:usb3="00000000" w:csb0="0000009F" w:csb1="00000000"/>
  </w:font>
  <w:font w:name="Open Sans">
    <w:altName w:val="Verdana"/>
    <w:panose1 w:val="020B0604020202020204"/>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20F5" w14:textId="77777777" w:rsidR="000F34A0" w:rsidRDefault="000F3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7DF2" w14:textId="77777777" w:rsidR="000F34A0" w:rsidRDefault="000F3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C55E" w14:textId="532A7FF0" w:rsidR="007B62E6" w:rsidRDefault="007B62E6" w:rsidP="00057E7F">
    <w:pPr>
      <w:pStyle w:val="Footer"/>
      <w:tabs>
        <w:tab w:val="clear" w:pos="9026"/>
        <w:tab w:val="right" w:pos="13577"/>
      </w:tabs>
    </w:pPr>
    <w:r w:rsidRPr="00740073">
      <w:tab/>
      <w:t xml:space="preserve">Page </w:t>
    </w:r>
    <w:r w:rsidRPr="1119C79B">
      <w:rPr>
        <w:noProof/>
      </w:rPr>
      <w:fldChar w:fldCharType="begin"/>
    </w:r>
    <w:r w:rsidRPr="00740073">
      <w:instrText xml:space="preserve"> PAGE  \* Arabic  \* MERGEFORMAT </w:instrText>
    </w:r>
    <w:r w:rsidRPr="1119C79B">
      <w:fldChar w:fldCharType="separate"/>
    </w:r>
    <w:r>
      <w:rPr>
        <w:noProof/>
      </w:rPr>
      <w:t>11</w:t>
    </w:r>
    <w:r w:rsidRPr="1119C79B">
      <w:rPr>
        <w:noProof/>
      </w:rPr>
      <w:fldChar w:fldCharType="end"/>
    </w:r>
    <w:r w:rsidRPr="00740073">
      <w:t xml:space="preserve"> of </w:t>
    </w:r>
    <w:r w:rsidR="00E9675D">
      <w:fldChar w:fldCharType="begin"/>
    </w:r>
    <w:r w:rsidR="00E9675D">
      <w:instrText xml:space="preserve"> NUMPAGES  \* Arabic  \* MERGEFORMAT </w:instrText>
    </w:r>
    <w:r w:rsidR="00E9675D">
      <w:fldChar w:fldCharType="separate"/>
    </w:r>
    <w:r>
      <w:rPr>
        <w:noProof/>
      </w:rPr>
      <w:t>15</w:t>
    </w:r>
    <w:r w:rsidR="00E967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B5A78" w14:textId="77777777" w:rsidR="00E9675D" w:rsidRDefault="00E9675D" w:rsidP="00895C25">
      <w:r>
        <w:separator/>
      </w:r>
    </w:p>
    <w:p w14:paraId="3A7A7E11" w14:textId="77777777" w:rsidR="00E9675D" w:rsidRDefault="00E9675D"/>
  </w:footnote>
  <w:footnote w:type="continuationSeparator" w:id="0">
    <w:p w14:paraId="147521B2" w14:textId="77777777" w:rsidR="00E9675D" w:rsidRDefault="00E9675D" w:rsidP="00895C25">
      <w:r>
        <w:continuationSeparator/>
      </w:r>
    </w:p>
    <w:p w14:paraId="6C9A6F6B" w14:textId="77777777" w:rsidR="00E9675D" w:rsidRDefault="00E9675D"/>
  </w:footnote>
  <w:footnote w:type="continuationNotice" w:id="1">
    <w:p w14:paraId="5EC42F9C" w14:textId="77777777" w:rsidR="00E9675D" w:rsidRDefault="00E967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56FAA" w14:textId="77777777" w:rsidR="000F34A0" w:rsidRDefault="000F3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655E" w14:textId="77777777" w:rsidR="000F34A0" w:rsidRDefault="000F3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55E5" w14:textId="09CD82AC" w:rsidR="007B62E6" w:rsidRDefault="007B62E6" w:rsidP="00057E7F">
    <w:pPr>
      <w:pStyle w:val="Header"/>
      <w:tabs>
        <w:tab w:val="clear" w:pos="4513"/>
        <w:tab w:val="clear" w:pos="9026"/>
        <w:tab w:val="right" w:pos="13577"/>
      </w:tabs>
    </w:pPr>
    <w:r>
      <w:tab/>
    </w:r>
    <w:r w:rsidR="004E63B0">
      <w:rPr>
        <w:noProof/>
      </w:rPr>
      <w:drawing>
        <wp:inline distT="0" distB="0" distL="0" distR="0" wp14:anchorId="09F4AE7A" wp14:editId="3FFDE1D5">
          <wp:extent cx="939165" cy="1078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E66768A"/>
    <w:lvl w:ilvl="0">
      <w:start w:val="1"/>
      <w:numFmt w:val="bullet"/>
      <w:lvlText w:val=""/>
      <w:lvlJc w:val="left"/>
      <w:pPr>
        <w:ind w:left="1492" w:hanging="360"/>
      </w:pPr>
      <w:rPr>
        <w:rFonts w:ascii="Symbol" w:hAnsi="Symbol" w:hint="default"/>
        <w:color w:val="FA4616" w:themeColor="accent1"/>
        <w:sz w:val="18"/>
      </w:rPr>
    </w:lvl>
  </w:abstractNum>
  <w:abstractNum w:abstractNumId="1" w15:restartNumberingAfterBreak="0">
    <w:nsid w:val="FFFFFF81"/>
    <w:multiLevelType w:val="singleLevel"/>
    <w:tmpl w:val="68A84FEA"/>
    <w:lvl w:ilvl="0">
      <w:start w:val="1"/>
      <w:numFmt w:val="bullet"/>
      <w:lvlText w:val=""/>
      <w:lvlJc w:val="left"/>
      <w:pPr>
        <w:ind w:left="1211" w:hanging="360"/>
      </w:pPr>
      <w:rPr>
        <w:rFonts w:ascii="Symbol" w:hAnsi="Symbol" w:hint="default"/>
        <w:color w:val="FA4616" w:themeColor="accent1"/>
        <w:sz w:val="18"/>
      </w:rPr>
    </w:lvl>
  </w:abstractNum>
  <w:abstractNum w:abstractNumId="2" w15:restartNumberingAfterBreak="0">
    <w:nsid w:val="FFFFFF88"/>
    <w:multiLevelType w:val="singleLevel"/>
    <w:tmpl w:val="3AD44372"/>
    <w:lvl w:ilvl="0">
      <w:start w:val="1"/>
      <w:numFmt w:val="decimal"/>
      <w:lvlText w:val="%1."/>
      <w:lvlJc w:val="left"/>
      <w:pPr>
        <w:tabs>
          <w:tab w:val="num" w:pos="644"/>
        </w:tabs>
        <w:ind w:left="644" w:hanging="360"/>
      </w:pPr>
    </w:lvl>
  </w:abstractNum>
  <w:abstractNum w:abstractNumId="3" w15:restartNumberingAfterBreak="0">
    <w:nsid w:val="0496292E"/>
    <w:multiLevelType w:val="hybridMultilevel"/>
    <w:tmpl w:val="F384BE6C"/>
    <w:lvl w:ilvl="0" w:tplc="4E660A4A">
      <w:numFmt w:val="bullet"/>
      <w:lvlText w:val="-"/>
      <w:lvlJc w:val="left"/>
      <w:pPr>
        <w:ind w:left="4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60115"/>
    <w:multiLevelType w:val="hybridMultilevel"/>
    <w:tmpl w:val="7564E8A6"/>
    <w:lvl w:ilvl="0" w:tplc="101088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7C1ADC"/>
    <w:multiLevelType w:val="hybridMultilevel"/>
    <w:tmpl w:val="7564E8A6"/>
    <w:lvl w:ilvl="0" w:tplc="101088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C76123"/>
    <w:multiLevelType w:val="hybridMultilevel"/>
    <w:tmpl w:val="B3962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06803"/>
    <w:multiLevelType w:val="hybridMultilevel"/>
    <w:tmpl w:val="2028150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12B71959"/>
    <w:multiLevelType w:val="hybridMultilevel"/>
    <w:tmpl w:val="083E941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B822D2"/>
    <w:multiLevelType w:val="hybridMultilevel"/>
    <w:tmpl w:val="F4863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314B5F"/>
    <w:multiLevelType w:val="hybridMultilevel"/>
    <w:tmpl w:val="7A1851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BE67332"/>
    <w:multiLevelType w:val="hybridMultilevel"/>
    <w:tmpl w:val="DF8CAE28"/>
    <w:lvl w:ilvl="0" w:tplc="5166118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393106"/>
    <w:multiLevelType w:val="hybridMultilevel"/>
    <w:tmpl w:val="2716DA4C"/>
    <w:lvl w:ilvl="0" w:tplc="7AD26D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B56387"/>
    <w:multiLevelType w:val="hybridMultilevel"/>
    <w:tmpl w:val="784A1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B77CD3"/>
    <w:multiLevelType w:val="hybridMultilevel"/>
    <w:tmpl w:val="5CB86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A2662C"/>
    <w:multiLevelType w:val="hybridMultilevel"/>
    <w:tmpl w:val="7B6413C4"/>
    <w:lvl w:ilvl="0" w:tplc="AFE4663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586791"/>
    <w:multiLevelType w:val="multilevel"/>
    <w:tmpl w:val="A378CC5C"/>
    <w:lvl w:ilvl="0">
      <w:start w:val="1"/>
      <w:numFmt w:val="decimal"/>
      <w:pStyle w:val="Heading1"/>
      <w:lvlText w:val="%1"/>
      <w:lvlJc w:val="left"/>
      <w:pPr>
        <w:ind w:left="851" w:hanging="851"/>
      </w:pPr>
      <w:rPr>
        <w:rFonts w:ascii="Arial" w:hAnsi="Arial" w:hint="default"/>
        <w:b/>
        <w:i w:val="0"/>
        <w:color w:val="FA4616" w:themeColor="accent1"/>
        <w:sz w:val="24"/>
      </w:rPr>
    </w:lvl>
    <w:lvl w:ilvl="1">
      <w:start w:val="1"/>
      <w:numFmt w:val="decimal"/>
      <w:pStyle w:val="Heading2"/>
      <w:lvlText w:val="%1.%2"/>
      <w:lvlJc w:val="left"/>
      <w:pPr>
        <w:ind w:left="851" w:hanging="851"/>
      </w:pPr>
      <w:rPr>
        <w:rFonts w:ascii="Arial" w:hAnsi="Arial" w:hint="default"/>
        <w:b/>
        <w:i w:val="0"/>
        <w:color w:val="000000" w:themeColor="text1"/>
        <w:sz w:val="20"/>
      </w:rPr>
    </w:lvl>
    <w:lvl w:ilvl="2">
      <w:start w:val="1"/>
      <w:numFmt w:val="decimal"/>
      <w:pStyle w:val="Heading3"/>
      <w:lvlText w:val="%1.%2.%3"/>
      <w:lvlJc w:val="left"/>
      <w:pPr>
        <w:ind w:left="851" w:hanging="851"/>
      </w:pPr>
      <w:rPr>
        <w:rFonts w:ascii="Arial" w:hAnsi="Arial" w:hint="default"/>
        <w:color w:val="000000" w:themeColor="text1"/>
        <w:sz w:val="20"/>
      </w:rPr>
    </w:lvl>
    <w:lvl w:ilvl="3">
      <w:start w:val="1"/>
      <w:numFmt w:val="decimal"/>
      <w:pStyle w:val="Heading4"/>
      <w:lvlText w:val="%1.%2.%3.%4"/>
      <w:lvlJc w:val="left"/>
      <w:pPr>
        <w:ind w:left="851" w:hanging="851"/>
      </w:pPr>
      <w:rPr>
        <w:rFonts w:ascii="Arial" w:hAnsi="Arial" w:hint="default"/>
        <w:b w:val="0"/>
        <w:i w:val="0"/>
        <w:color w:val="000000" w:themeColor="text1"/>
        <w:sz w:val="20"/>
      </w:rPr>
    </w:lvl>
    <w:lvl w:ilvl="4">
      <w:start w:val="1"/>
      <w:numFmt w:val="decimal"/>
      <w:pStyle w:val="Heading5"/>
      <w:lvlText w:val="%1.%2.%3.%4.%5"/>
      <w:lvlJc w:val="left"/>
      <w:pPr>
        <w:ind w:left="851" w:hanging="851"/>
      </w:pPr>
      <w:rPr>
        <w:rFonts w:ascii="Arial" w:hAnsi="Arial" w:hint="default"/>
        <w:color w:val="000000" w:themeColor="text1"/>
        <w:sz w:val="20"/>
      </w:rPr>
    </w:lvl>
    <w:lvl w:ilvl="5">
      <w:start w:val="1"/>
      <w:numFmt w:val="decimal"/>
      <w:pStyle w:val="Heading6"/>
      <w:lvlText w:val="%1.%2.%3.%4.%5.%6"/>
      <w:lvlJc w:val="left"/>
      <w:pPr>
        <w:ind w:left="851" w:hanging="851"/>
      </w:pPr>
      <w:rPr>
        <w:rFonts w:ascii="Arial" w:hAnsi="Arial" w:hint="default"/>
        <w:color w:val="000000" w:themeColor="text1"/>
        <w:sz w:val="20"/>
      </w:rPr>
    </w:lvl>
    <w:lvl w:ilvl="6">
      <w:start w:val="1"/>
      <w:numFmt w:val="decimal"/>
      <w:pStyle w:val="Heading7"/>
      <w:lvlText w:val="%1.%2.%3.%4.%5.%6.%7"/>
      <w:lvlJc w:val="left"/>
      <w:pPr>
        <w:ind w:left="851" w:hanging="851"/>
      </w:pPr>
      <w:rPr>
        <w:rFonts w:ascii="Arial" w:hAnsi="Arial" w:hint="default"/>
        <w:b w:val="0"/>
        <w:i w:val="0"/>
        <w:color w:val="000000" w:themeColor="text1"/>
        <w:sz w:val="20"/>
      </w:rPr>
    </w:lvl>
    <w:lvl w:ilvl="7">
      <w:start w:val="1"/>
      <w:numFmt w:val="decimal"/>
      <w:pStyle w:val="Heading8"/>
      <w:lvlText w:val="%1.%2.%3.%4.%5.%6.%7.%8"/>
      <w:lvlJc w:val="left"/>
      <w:pPr>
        <w:ind w:left="851" w:hanging="851"/>
      </w:pPr>
      <w:rPr>
        <w:rFonts w:ascii="Arial" w:hAnsi="Arial" w:hint="default"/>
        <w:b w:val="0"/>
        <w:i/>
        <w:color w:val="000000" w:themeColor="text1"/>
        <w:sz w:val="20"/>
      </w:rPr>
    </w:lvl>
    <w:lvl w:ilvl="8">
      <w:start w:val="1"/>
      <w:numFmt w:val="none"/>
      <w:pStyle w:val="Heading9"/>
      <w:lvlText w:val=""/>
      <w:lvlJc w:val="left"/>
      <w:pPr>
        <w:ind w:left="851" w:hanging="851"/>
      </w:pPr>
      <w:rPr>
        <w:rFonts w:ascii="Arial" w:hAnsi="Arial" w:hint="default"/>
        <w:b/>
        <w:i/>
        <w:color w:val="FA4616" w:themeColor="accent1"/>
        <w:sz w:val="20"/>
      </w:rPr>
    </w:lvl>
  </w:abstractNum>
  <w:abstractNum w:abstractNumId="17" w15:restartNumberingAfterBreak="0">
    <w:nsid w:val="41F401EF"/>
    <w:multiLevelType w:val="hybridMultilevel"/>
    <w:tmpl w:val="B91256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55E63A3"/>
    <w:multiLevelType w:val="hybridMultilevel"/>
    <w:tmpl w:val="817C00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590642C"/>
    <w:multiLevelType w:val="hybridMultilevel"/>
    <w:tmpl w:val="F3B031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4C1641"/>
    <w:multiLevelType w:val="hybridMultilevel"/>
    <w:tmpl w:val="6ED0976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FB5DBD"/>
    <w:multiLevelType w:val="hybridMultilevel"/>
    <w:tmpl w:val="B0181B0C"/>
    <w:lvl w:ilvl="0" w:tplc="101088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BF78BE"/>
    <w:multiLevelType w:val="hybridMultilevel"/>
    <w:tmpl w:val="AD3ED9CA"/>
    <w:lvl w:ilvl="0" w:tplc="101088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416CFC"/>
    <w:multiLevelType w:val="hybridMultilevel"/>
    <w:tmpl w:val="30E089B2"/>
    <w:lvl w:ilvl="0" w:tplc="9684AEFA">
      <w:start w:val="1"/>
      <w:numFmt w:val="decimal"/>
      <w:pStyle w:val="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044160"/>
    <w:multiLevelType w:val="hybridMultilevel"/>
    <w:tmpl w:val="6ED0976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AF2157"/>
    <w:multiLevelType w:val="hybridMultilevel"/>
    <w:tmpl w:val="8B4A4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361B49"/>
    <w:multiLevelType w:val="hybridMultilevel"/>
    <w:tmpl w:val="DA8A5CA0"/>
    <w:lvl w:ilvl="0" w:tplc="E450859E">
      <w:start w:val="1"/>
      <w:numFmt w:val="bullet"/>
      <w:lvlText w:val="•"/>
      <w:lvlJc w:val="left"/>
      <w:pPr>
        <w:tabs>
          <w:tab w:val="num" w:pos="720"/>
        </w:tabs>
        <w:ind w:left="720" w:hanging="360"/>
      </w:pPr>
      <w:rPr>
        <w:rFonts w:ascii="Arial" w:hAnsi="Arial" w:hint="default"/>
      </w:rPr>
    </w:lvl>
    <w:lvl w:ilvl="1" w:tplc="81F0336C">
      <w:start w:val="1"/>
      <w:numFmt w:val="bullet"/>
      <w:lvlText w:val="•"/>
      <w:lvlJc w:val="left"/>
      <w:pPr>
        <w:tabs>
          <w:tab w:val="num" w:pos="1440"/>
        </w:tabs>
        <w:ind w:left="1440" w:hanging="360"/>
      </w:pPr>
      <w:rPr>
        <w:rFonts w:ascii="Arial" w:hAnsi="Arial" w:hint="default"/>
      </w:rPr>
    </w:lvl>
    <w:lvl w:ilvl="2" w:tplc="4268E758" w:tentative="1">
      <w:start w:val="1"/>
      <w:numFmt w:val="bullet"/>
      <w:lvlText w:val="•"/>
      <w:lvlJc w:val="left"/>
      <w:pPr>
        <w:tabs>
          <w:tab w:val="num" w:pos="2160"/>
        </w:tabs>
        <w:ind w:left="2160" w:hanging="360"/>
      </w:pPr>
      <w:rPr>
        <w:rFonts w:ascii="Arial" w:hAnsi="Arial" w:hint="default"/>
      </w:rPr>
    </w:lvl>
    <w:lvl w:ilvl="3" w:tplc="DCAAE1A4" w:tentative="1">
      <w:start w:val="1"/>
      <w:numFmt w:val="bullet"/>
      <w:lvlText w:val="•"/>
      <w:lvlJc w:val="left"/>
      <w:pPr>
        <w:tabs>
          <w:tab w:val="num" w:pos="2880"/>
        </w:tabs>
        <w:ind w:left="2880" w:hanging="360"/>
      </w:pPr>
      <w:rPr>
        <w:rFonts w:ascii="Arial" w:hAnsi="Arial" w:hint="default"/>
      </w:rPr>
    </w:lvl>
    <w:lvl w:ilvl="4" w:tplc="D0409FEE" w:tentative="1">
      <w:start w:val="1"/>
      <w:numFmt w:val="bullet"/>
      <w:lvlText w:val="•"/>
      <w:lvlJc w:val="left"/>
      <w:pPr>
        <w:tabs>
          <w:tab w:val="num" w:pos="3600"/>
        </w:tabs>
        <w:ind w:left="3600" w:hanging="360"/>
      </w:pPr>
      <w:rPr>
        <w:rFonts w:ascii="Arial" w:hAnsi="Arial" w:hint="default"/>
      </w:rPr>
    </w:lvl>
    <w:lvl w:ilvl="5" w:tplc="104EEEC8" w:tentative="1">
      <w:start w:val="1"/>
      <w:numFmt w:val="bullet"/>
      <w:lvlText w:val="•"/>
      <w:lvlJc w:val="left"/>
      <w:pPr>
        <w:tabs>
          <w:tab w:val="num" w:pos="4320"/>
        </w:tabs>
        <w:ind w:left="4320" w:hanging="360"/>
      </w:pPr>
      <w:rPr>
        <w:rFonts w:ascii="Arial" w:hAnsi="Arial" w:hint="default"/>
      </w:rPr>
    </w:lvl>
    <w:lvl w:ilvl="6" w:tplc="0BAC2EF2" w:tentative="1">
      <w:start w:val="1"/>
      <w:numFmt w:val="bullet"/>
      <w:lvlText w:val="•"/>
      <w:lvlJc w:val="left"/>
      <w:pPr>
        <w:tabs>
          <w:tab w:val="num" w:pos="5040"/>
        </w:tabs>
        <w:ind w:left="5040" w:hanging="360"/>
      </w:pPr>
      <w:rPr>
        <w:rFonts w:ascii="Arial" w:hAnsi="Arial" w:hint="default"/>
      </w:rPr>
    </w:lvl>
    <w:lvl w:ilvl="7" w:tplc="6D1891AC" w:tentative="1">
      <w:start w:val="1"/>
      <w:numFmt w:val="bullet"/>
      <w:lvlText w:val="•"/>
      <w:lvlJc w:val="left"/>
      <w:pPr>
        <w:tabs>
          <w:tab w:val="num" w:pos="5760"/>
        </w:tabs>
        <w:ind w:left="5760" w:hanging="360"/>
      </w:pPr>
      <w:rPr>
        <w:rFonts w:ascii="Arial" w:hAnsi="Arial" w:hint="default"/>
      </w:rPr>
    </w:lvl>
    <w:lvl w:ilvl="8" w:tplc="19F8A9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1C0826"/>
    <w:multiLevelType w:val="hybridMultilevel"/>
    <w:tmpl w:val="D82EFE56"/>
    <w:lvl w:ilvl="0" w:tplc="02C0C3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305B82"/>
    <w:multiLevelType w:val="hybridMultilevel"/>
    <w:tmpl w:val="083E941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9851AA"/>
    <w:multiLevelType w:val="hybridMultilevel"/>
    <w:tmpl w:val="7696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6"/>
  </w:num>
  <w:num w:numId="5">
    <w:abstractNumId w:val="23"/>
  </w:num>
  <w:num w:numId="6">
    <w:abstractNumId w:val="7"/>
  </w:num>
  <w:num w:numId="7">
    <w:abstractNumId w:val="25"/>
  </w:num>
  <w:num w:numId="8">
    <w:abstractNumId w:val="13"/>
  </w:num>
  <w:num w:numId="9">
    <w:abstractNumId w:val="6"/>
  </w:num>
  <w:num w:numId="10">
    <w:abstractNumId w:val="4"/>
  </w:num>
  <w:num w:numId="11">
    <w:abstractNumId w:val="22"/>
  </w:num>
  <w:num w:numId="12">
    <w:abstractNumId w:val="5"/>
  </w:num>
  <w:num w:numId="13">
    <w:abstractNumId w:val="9"/>
  </w:num>
  <w:num w:numId="14">
    <w:abstractNumId w:val="24"/>
  </w:num>
  <w:num w:numId="15">
    <w:abstractNumId w:val="15"/>
  </w:num>
  <w:num w:numId="16">
    <w:abstractNumId w:val="27"/>
  </w:num>
  <w:num w:numId="17">
    <w:abstractNumId w:val="18"/>
  </w:num>
  <w:num w:numId="18">
    <w:abstractNumId w:val="11"/>
  </w:num>
  <w:num w:numId="19">
    <w:abstractNumId w:val="19"/>
  </w:num>
  <w:num w:numId="20">
    <w:abstractNumId w:val="10"/>
  </w:num>
  <w:num w:numId="21">
    <w:abstractNumId w:val="8"/>
  </w:num>
  <w:num w:numId="22">
    <w:abstractNumId w:val="3"/>
  </w:num>
  <w:num w:numId="23">
    <w:abstractNumId w:val="12"/>
  </w:num>
  <w:num w:numId="24">
    <w:abstractNumId w:val="20"/>
  </w:num>
  <w:num w:numId="25">
    <w:abstractNumId w:val="28"/>
  </w:num>
  <w:num w:numId="26">
    <w:abstractNumId w:val="21"/>
  </w:num>
  <w:num w:numId="27">
    <w:abstractNumId w:val="29"/>
  </w:num>
  <w:num w:numId="28">
    <w:abstractNumId w:val="14"/>
  </w:num>
  <w:num w:numId="29">
    <w:abstractNumId w:val="29"/>
  </w:num>
  <w:num w:numId="30">
    <w:abstractNumId w:val="26"/>
  </w:num>
  <w:num w:numId="3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SortMethod w:val="0000"/>
  <w:documentProtection w:edit="readOnly" w:enforcement="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06"/>
    <w:rsid w:val="000004A3"/>
    <w:rsid w:val="00004260"/>
    <w:rsid w:val="00004F92"/>
    <w:rsid w:val="00007A33"/>
    <w:rsid w:val="00007B2A"/>
    <w:rsid w:val="00010D1D"/>
    <w:rsid w:val="00012FF1"/>
    <w:rsid w:val="00014E3A"/>
    <w:rsid w:val="00027BA0"/>
    <w:rsid w:val="00033687"/>
    <w:rsid w:val="00041EC0"/>
    <w:rsid w:val="00044239"/>
    <w:rsid w:val="00047E13"/>
    <w:rsid w:val="000510B8"/>
    <w:rsid w:val="0005162D"/>
    <w:rsid w:val="0005447C"/>
    <w:rsid w:val="00057E7F"/>
    <w:rsid w:val="00060AE3"/>
    <w:rsid w:val="000744A2"/>
    <w:rsid w:val="00075B91"/>
    <w:rsid w:val="00076B1E"/>
    <w:rsid w:val="000853E5"/>
    <w:rsid w:val="00085A7C"/>
    <w:rsid w:val="00087919"/>
    <w:rsid w:val="00087C17"/>
    <w:rsid w:val="000905E9"/>
    <w:rsid w:val="0009474B"/>
    <w:rsid w:val="00095A54"/>
    <w:rsid w:val="000973E7"/>
    <w:rsid w:val="00097465"/>
    <w:rsid w:val="0009776E"/>
    <w:rsid w:val="00097FBB"/>
    <w:rsid w:val="000A7C71"/>
    <w:rsid w:val="000B28F7"/>
    <w:rsid w:val="000B4A1D"/>
    <w:rsid w:val="000C36DD"/>
    <w:rsid w:val="000C7D21"/>
    <w:rsid w:val="000D06F9"/>
    <w:rsid w:val="000D264C"/>
    <w:rsid w:val="000D7B56"/>
    <w:rsid w:val="000E019F"/>
    <w:rsid w:val="000E4CB8"/>
    <w:rsid w:val="000E506B"/>
    <w:rsid w:val="000E7DB5"/>
    <w:rsid w:val="000F34A0"/>
    <w:rsid w:val="000F4A3B"/>
    <w:rsid w:val="000F5B40"/>
    <w:rsid w:val="000F708A"/>
    <w:rsid w:val="00103F37"/>
    <w:rsid w:val="00104F58"/>
    <w:rsid w:val="00104F8C"/>
    <w:rsid w:val="0010669D"/>
    <w:rsid w:val="001075C3"/>
    <w:rsid w:val="00112734"/>
    <w:rsid w:val="00114DF3"/>
    <w:rsid w:val="0013337A"/>
    <w:rsid w:val="0013379E"/>
    <w:rsid w:val="00133C2B"/>
    <w:rsid w:val="001363DE"/>
    <w:rsid w:val="001364D2"/>
    <w:rsid w:val="001408C7"/>
    <w:rsid w:val="00141CD4"/>
    <w:rsid w:val="00141E0B"/>
    <w:rsid w:val="00143343"/>
    <w:rsid w:val="00144FF4"/>
    <w:rsid w:val="0015335D"/>
    <w:rsid w:val="00155183"/>
    <w:rsid w:val="00157A54"/>
    <w:rsid w:val="0016409B"/>
    <w:rsid w:val="0016718A"/>
    <w:rsid w:val="001677CE"/>
    <w:rsid w:val="00167A9B"/>
    <w:rsid w:val="001715D6"/>
    <w:rsid w:val="00171ABC"/>
    <w:rsid w:val="001735A3"/>
    <w:rsid w:val="001764A5"/>
    <w:rsid w:val="00180CA9"/>
    <w:rsid w:val="0018142C"/>
    <w:rsid w:val="0018365F"/>
    <w:rsid w:val="00186616"/>
    <w:rsid w:val="0019168C"/>
    <w:rsid w:val="00192B2D"/>
    <w:rsid w:val="0019375A"/>
    <w:rsid w:val="00195F94"/>
    <w:rsid w:val="00197300"/>
    <w:rsid w:val="001A5009"/>
    <w:rsid w:val="001A5260"/>
    <w:rsid w:val="001B5516"/>
    <w:rsid w:val="001B697A"/>
    <w:rsid w:val="001C0E9B"/>
    <w:rsid w:val="001C258A"/>
    <w:rsid w:val="001C69B2"/>
    <w:rsid w:val="001D162B"/>
    <w:rsid w:val="001D2108"/>
    <w:rsid w:val="001D6315"/>
    <w:rsid w:val="001D7BF5"/>
    <w:rsid w:val="001D7DCF"/>
    <w:rsid w:val="001E324C"/>
    <w:rsid w:val="001E762B"/>
    <w:rsid w:val="001F3732"/>
    <w:rsid w:val="001F56AB"/>
    <w:rsid w:val="00202C4F"/>
    <w:rsid w:val="002047D6"/>
    <w:rsid w:val="00205960"/>
    <w:rsid w:val="002141BC"/>
    <w:rsid w:val="00223E88"/>
    <w:rsid w:val="00226232"/>
    <w:rsid w:val="00231FC6"/>
    <w:rsid w:val="00236815"/>
    <w:rsid w:val="00241ACB"/>
    <w:rsid w:val="0024726D"/>
    <w:rsid w:val="00251401"/>
    <w:rsid w:val="00253520"/>
    <w:rsid w:val="002564E2"/>
    <w:rsid w:val="00261383"/>
    <w:rsid w:val="002649AB"/>
    <w:rsid w:val="002679A0"/>
    <w:rsid w:val="00267BE6"/>
    <w:rsid w:val="00270684"/>
    <w:rsid w:val="002749C6"/>
    <w:rsid w:val="00276E15"/>
    <w:rsid w:val="0028293C"/>
    <w:rsid w:val="00286BA7"/>
    <w:rsid w:val="002909B6"/>
    <w:rsid w:val="00290B64"/>
    <w:rsid w:val="00292211"/>
    <w:rsid w:val="002A0897"/>
    <w:rsid w:val="002A0E4D"/>
    <w:rsid w:val="002A49ED"/>
    <w:rsid w:val="002A6CD6"/>
    <w:rsid w:val="002B10AD"/>
    <w:rsid w:val="002C1C98"/>
    <w:rsid w:val="002D12A7"/>
    <w:rsid w:val="002D1F5E"/>
    <w:rsid w:val="002D4466"/>
    <w:rsid w:val="002D51B8"/>
    <w:rsid w:val="002E1745"/>
    <w:rsid w:val="002E704A"/>
    <w:rsid w:val="002F0988"/>
    <w:rsid w:val="002F764C"/>
    <w:rsid w:val="00302DB3"/>
    <w:rsid w:val="00311534"/>
    <w:rsid w:val="00314032"/>
    <w:rsid w:val="0031708D"/>
    <w:rsid w:val="00320A07"/>
    <w:rsid w:val="00324845"/>
    <w:rsid w:val="003312A5"/>
    <w:rsid w:val="00332A81"/>
    <w:rsid w:val="00334E2A"/>
    <w:rsid w:val="00335F98"/>
    <w:rsid w:val="00336C27"/>
    <w:rsid w:val="00340481"/>
    <w:rsid w:val="0034061B"/>
    <w:rsid w:val="0034064A"/>
    <w:rsid w:val="00347E7D"/>
    <w:rsid w:val="00354455"/>
    <w:rsid w:val="0035615C"/>
    <w:rsid w:val="00363240"/>
    <w:rsid w:val="00366F6A"/>
    <w:rsid w:val="003815B3"/>
    <w:rsid w:val="003822C6"/>
    <w:rsid w:val="00382F7A"/>
    <w:rsid w:val="00384C15"/>
    <w:rsid w:val="00386EF5"/>
    <w:rsid w:val="003A101B"/>
    <w:rsid w:val="003A7596"/>
    <w:rsid w:val="003B2EA0"/>
    <w:rsid w:val="003B490F"/>
    <w:rsid w:val="003C783B"/>
    <w:rsid w:val="003D0E0D"/>
    <w:rsid w:val="003E3BF1"/>
    <w:rsid w:val="003E632B"/>
    <w:rsid w:val="003E7029"/>
    <w:rsid w:val="003E77B7"/>
    <w:rsid w:val="003F1597"/>
    <w:rsid w:val="0040495D"/>
    <w:rsid w:val="00407CA8"/>
    <w:rsid w:val="00424536"/>
    <w:rsid w:val="00425C1A"/>
    <w:rsid w:val="004307AE"/>
    <w:rsid w:val="00434724"/>
    <w:rsid w:val="00437D8B"/>
    <w:rsid w:val="00446641"/>
    <w:rsid w:val="0045340C"/>
    <w:rsid w:val="00456F04"/>
    <w:rsid w:val="00462A8C"/>
    <w:rsid w:val="0046397F"/>
    <w:rsid w:val="00465DF2"/>
    <w:rsid w:val="00467786"/>
    <w:rsid w:val="00467FBF"/>
    <w:rsid w:val="00473613"/>
    <w:rsid w:val="00476281"/>
    <w:rsid w:val="00477CBF"/>
    <w:rsid w:val="00482435"/>
    <w:rsid w:val="004826CF"/>
    <w:rsid w:val="00490C08"/>
    <w:rsid w:val="004924C0"/>
    <w:rsid w:val="004967C6"/>
    <w:rsid w:val="00497048"/>
    <w:rsid w:val="004A03D8"/>
    <w:rsid w:val="004A2376"/>
    <w:rsid w:val="004B1085"/>
    <w:rsid w:val="004B6C49"/>
    <w:rsid w:val="004B6F4A"/>
    <w:rsid w:val="004C077E"/>
    <w:rsid w:val="004C5FDF"/>
    <w:rsid w:val="004D0D57"/>
    <w:rsid w:val="004D1BA9"/>
    <w:rsid w:val="004D2212"/>
    <w:rsid w:val="004D39AB"/>
    <w:rsid w:val="004D74DB"/>
    <w:rsid w:val="004D7717"/>
    <w:rsid w:val="004E3CE4"/>
    <w:rsid w:val="004E3F06"/>
    <w:rsid w:val="004E63B0"/>
    <w:rsid w:val="004E65E7"/>
    <w:rsid w:val="004E7B00"/>
    <w:rsid w:val="004F0224"/>
    <w:rsid w:val="004F15A3"/>
    <w:rsid w:val="004F7661"/>
    <w:rsid w:val="00500E5E"/>
    <w:rsid w:val="00505511"/>
    <w:rsid w:val="00510B97"/>
    <w:rsid w:val="00512B05"/>
    <w:rsid w:val="00513165"/>
    <w:rsid w:val="00513752"/>
    <w:rsid w:val="00516C29"/>
    <w:rsid w:val="00520E3B"/>
    <w:rsid w:val="005210C7"/>
    <w:rsid w:val="005222A2"/>
    <w:rsid w:val="00523641"/>
    <w:rsid w:val="0053165D"/>
    <w:rsid w:val="00534400"/>
    <w:rsid w:val="00534B7A"/>
    <w:rsid w:val="00541517"/>
    <w:rsid w:val="00543454"/>
    <w:rsid w:val="00563664"/>
    <w:rsid w:val="00573472"/>
    <w:rsid w:val="00574D4D"/>
    <w:rsid w:val="005763D2"/>
    <w:rsid w:val="005858F1"/>
    <w:rsid w:val="00585F88"/>
    <w:rsid w:val="00596774"/>
    <w:rsid w:val="005A1574"/>
    <w:rsid w:val="005A2C4F"/>
    <w:rsid w:val="005A3941"/>
    <w:rsid w:val="005B0A38"/>
    <w:rsid w:val="005B1A5E"/>
    <w:rsid w:val="005B1B3C"/>
    <w:rsid w:val="005C04D7"/>
    <w:rsid w:val="005C575F"/>
    <w:rsid w:val="005C65F7"/>
    <w:rsid w:val="005D536E"/>
    <w:rsid w:val="005D6257"/>
    <w:rsid w:val="005E2259"/>
    <w:rsid w:val="005E3C81"/>
    <w:rsid w:val="005F21AC"/>
    <w:rsid w:val="005F7EB6"/>
    <w:rsid w:val="00600C07"/>
    <w:rsid w:val="00601908"/>
    <w:rsid w:val="0060552F"/>
    <w:rsid w:val="00611C40"/>
    <w:rsid w:val="006250E2"/>
    <w:rsid w:val="0063075F"/>
    <w:rsid w:val="00634793"/>
    <w:rsid w:val="0064153A"/>
    <w:rsid w:val="006426D0"/>
    <w:rsid w:val="0064354E"/>
    <w:rsid w:val="006442E0"/>
    <w:rsid w:val="0064578E"/>
    <w:rsid w:val="006459B1"/>
    <w:rsid w:val="00646003"/>
    <w:rsid w:val="00647162"/>
    <w:rsid w:val="006471D8"/>
    <w:rsid w:val="0064796A"/>
    <w:rsid w:val="0065283A"/>
    <w:rsid w:val="00653065"/>
    <w:rsid w:val="006543AF"/>
    <w:rsid w:val="00664328"/>
    <w:rsid w:val="00680E5E"/>
    <w:rsid w:val="006823A0"/>
    <w:rsid w:val="00690468"/>
    <w:rsid w:val="00690AD7"/>
    <w:rsid w:val="006A031F"/>
    <w:rsid w:val="006A1815"/>
    <w:rsid w:val="006B04F6"/>
    <w:rsid w:val="006B051B"/>
    <w:rsid w:val="006C1B17"/>
    <w:rsid w:val="006C2A1B"/>
    <w:rsid w:val="006C6F36"/>
    <w:rsid w:val="006C76EA"/>
    <w:rsid w:val="006D0E21"/>
    <w:rsid w:val="006D2A87"/>
    <w:rsid w:val="006D34BE"/>
    <w:rsid w:val="006E27D7"/>
    <w:rsid w:val="006E5D29"/>
    <w:rsid w:val="006F2CE2"/>
    <w:rsid w:val="006F7550"/>
    <w:rsid w:val="007006E3"/>
    <w:rsid w:val="00701147"/>
    <w:rsid w:val="00705081"/>
    <w:rsid w:val="00710691"/>
    <w:rsid w:val="00710C30"/>
    <w:rsid w:val="00711A64"/>
    <w:rsid w:val="00712931"/>
    <w:rsid w:val="00713273"/>
    <w:rsid w:val="00717F9A"/>
    <w:rsid w:val="00720D92"/>
    <w:rsid w:val="00721205"/>
    <w:rsid w:val="00721EE9"/>
    <w:rsid w:val="0072565F"/>
    <w:rsid w:val="00725AAB"/>
    <w:rsid w:val="00727F90"/>
    <w:rsid w:val="00733E34"/>
    <w:rsid w:val="00740073"/>
    <w:rsid w:val="00750329"/>
    <w:rsid w:val="00751181"/>
    <w:rsid w:val="007608A1"/>
    <w:rsid w:val="00760E1A"/>
    <w:rsid w:val="00761AED"/>
    <w:rsid w:val="00763084"/>
    <w:rsid w:val="0076728F"/>
    <w:rsid w:val="00780156"/>
    <w:rsid w:val="00790C87"/>
    <w:rsid w:val="0079158C"/>
    <w:rsid w:val="007A1F65"/>
    <w:rsid w:val="007A5A8B"/>
    <w:rsid w:val="007B48C6"/>
    <w:rsid w:val="007B62E6"/>
    <w:rsid w:val="007B7B3B"/>
    <w:rsid w:val="007C29A4"/>
    <w:rsid w:val="007C72D1"/>
    <w:rsid w:val="007D2095"/>
    <w:rsid w:val="007D37EB"/>
    <w:rsid w:val="007E2AB6"/>
    <w:rsid w:val="007E2E9B"/>
    <w:rsid w:val="007E4F3F"/>
    <w:rsid w:val="007E6D87"/>
    <w:rsid w:val="007E76B6"/>
    <w:rsid w:val="007F1D7C"/>
    <w:rsid w:val="007F2F27"/>
    <w:rsid w:val="007F2F46"/>
    <w:rsid w:val="007F447F"/>
    <w:rsid w:val="007F6023"/>
    <w:rsid w:val="007F7FA1"/>
    <w:rsid w:val="00800F8B"/>
    <w:rsid w:val="00801C56"/>
    <w:rsid w:val="008021E1"/>
    <w:rsid w:val="00802A7B"/>
    <w:rsid w:val="00803755"/>
    <w:rsid w:val="00812000"/>
    <w:rsid w:val="00814DDB"/>
    <w:rsid w:val="008174E4"/>
    <w:rsid w:val="00825200"/>
    <w:rsid w:val="00825D52"/>
    <w:rsid w:val="008305F9"/>
    <w:rsid w:val="0083270D"/>
    <w:rsid w:val="00836952"/>
    <w:rsid w:val="008409FF"/>
    <w:rsid w:val="00845784"/>
    <w:rsid w:val="008525CB"/>
    <w:rsid w:val="0085575F"/>
    <w:rsid w:val="008755E9"/>
    <w:rsid w:val="00877008"/>
    <w:rsid w:val="008829E8"/>
    <w:rsid w:val="008834B6"/>
    <w:rsid w:val="008945F1"/>
    <w:rsid w:val="008958B9"/>
    <w:rsid w:val="00895C25"/>
    <w:rsid w:val="008A0E26"/>
    <w:rsid w:val="008A1054"/>
    <w:rsid w:val="008A2D55"/>
    <w:rsid w:val="008A6B96"/>
    <w:rsid w:val="008B2CE5"/>
    <w:rsid w:val="008B3258"/>
    <w:rsid w:val="008B3F8E"/>
    <w:rsid w:val="008B718C"/>
    <w:rsid w:val="008C0AF4"/>
    <w:rsid w:val="008C11F9"/>
    <w:rsid w:val="008C6481"/>
    <w:rsid w:val="008D03E3"/>
    <w:rsid w:val="008D3760"/>
    <w:rsid w:val="008D5896"/>
    <w:rsid w:val="008D748F"/>
    <w:rsid w:val="008E3A33"/>
    <w:rsid w:val="008E5348"/>
    <w:rsid w:val="008E6661"/>
    <w:rsid w:val="008F1BCB"/>
    <w:rsid w:val="008F4994"/>
    <w:rsid w:val="00901994"/>
    <w:rsid w:val="00905CA1"/>
    <w:rsid w:val="009141AD"/>
    <w:rsid w:val="00922130"/>
    <w:rsid w:val="009278D9"/>
    <w:rsid w:val="0093273E"/>
    <w:rsid w:val="0093287D"/>
    <w:rsid w:val="009337E2"/>
    <w:rsid w:val="009375F6"/>
    <w:rsid w:val="00937645"/>
    <w:rsid w:val="009456D1"/>
    <w:rsid w:val="00960CCA"/>
    <w:rsid w:val="00962196"/>
    <w:rsid w:val="009649CE"/>
    <w:rsid w:val="00964DBE"/>
    <w:rsid w:val="009739B7"/>
    <w:rsid w:val="00981CA8"/>
    <w:rsid w:val="0098322E"/>
    <w:rsid w:val="009834B5"/>
    <w:rsid w:val="00985055"/>
    <w:rsid w:val="00990572"/>
    <w:rsid w:val="009910A5"/>
    <w:rsid w:val="00993636"/>
    <w:rsid w:val="009948CE"/>
    <w:rsid w:val="009A18AA"/>
    <w:rsid w:val="009B0291"/>
    <w:rsid w:val="009B1D4C"/>
    <w:rsid w:val="009B7E79"/>
    <w:rsid w:val="009C2A5F"/>
    <w:rsid w:val="009C341B"/>
    <w:rsid w:val="009C5012"/>
    <w:rsid w:val="009C7019"/>
    <w:rsid w:val="009D452D"/>
    <w:rsid w:val="009E180D"/>
    <w:rsid w:val="009E1829"/>
    <w:rsid w:val="009E3F75"/>
    <w:rsid w:val="009E7343"/>
    <w:rsid w:val="009F18CE"/>
    <w:rsid w:val="009F4024"/>
    <w:rsid w:val="009F63E0"/>
    <w:rsid w:val="00A015B4"/>
    <w:rsid w:val="00A03461"/>
    <w:rsid w:val="00A042E9"/>
    <w:rsid w:val="00A069EA"/>
    <w:rsid w:val="00A12ADF"/>
    <w:rsid w:val="00A14722"/>
    <w:rsid w:val="00A15BDB"/>
    <w:rsid w:val="00A214C8"/>
    <w:rsid w:val="00A220AA"/>
    <w:rsid w:val="00A2725F"/>
    <w:rsid w:val="00A34DFA"/>
    <w:rsid w:val="00A34F43"/>
    <w:rsid w:val="00A36DE5"/>
    <w:rsid w:val="00A371CD"/>
    <w:rsid w:val="00A401CD"/>
    <w:rsid w:val="00A41DA3"/>
    <w:rsid w:val="00A425E1"/>
    <w:rsid w:val="00A47B98"/>
    <w:rsid w:val="00A519FA"/>
    <w:rsid w:val="00A53C56"/>
    <w:rsid w:val="00A54675"/>
    <w:rsid w:val="00A614CA"/>
    <w:rsid w:val="00A61B61"/>
    <w:rsid w:val="00A65E08"/>
    <w:rsid w:val="00A673CB"/>
    <w:rsid w:val="00A749A1"/>
    <w:rsid w:val="00A764C0"/>
    <w:rsid w:val="00A87A0D"/>
    <w:rsid w:val="00A971D9"/>
    <w:rsid w:val="00AA17E5"/>
    <w:rsid w:val="00AA1F27"/>
    <w:rsid w:val="00AA2363"/>
    <w:rsid w:val="00AA70C5"/>
    <w:rsid w:val="00AB069C"/>
    <w:rsid w:val="00AB08EA"/>
    <w:rsid w:val="00AB76B0"/>
    <w:rsid w:val="00AC7006"/>
    <w:rsid w:val="00AD2019"/>
    <w:rsid w:val="00AD4D3E"/>
    <w:rsid w:val="00AD5145"/>
    <w:rsid w:val="00AE37B9"/>
    <w:rsid w:val="00AE63C5"/>
    <w:rsid w:val="00AE7663"/>
    <w:rsid w:val="00AF238B"/>
    <w:rsid w:val="00AF3572"/>
    <w:rsid w:val="00AF39FB"/>
    <w:rsid w:val="00AF443C"/>
    <w:rsid w:val="00B05DA4"/>
    <w:rsid w:val="00B2287D"/>
    <w:rsid w:val="00B25243"/>
    <w:rsid w:val="00B274D8"/>
    <w:rsid w:val="00B27F89"/>
    <w:rsid w:val="00B30731"/>
    <w:rsid w:val="00B3256E"/>
    <w:rsid w:val="00B32B77"/>
    <w:rsid w:val="00B403C2"/>
    <w:rsid w:val="00B4371D"/>
    <w:rsid w:val="00B4765B"/>
    <w:rsid w:val="00B47828"/>
    <w:rsid w:val="00B50EC0"/>
    <w:rsid w:val="00B53B59"/>
    <w:rsid w:val="00B53C8F"/>
    <w:rsid w:val="00B54613"/>
    <w:rsid w:val="00B56ED8"/>
    <w:rsid w:val="00B62C76"/>
    <w:rsid w:val="00B63637"/>
    <w:rsid w:val="00B660E0"/>
    <w:rsid w:val="00B71A95"/>
    <w:rsid w:val="00B731C2"/>
    <w:rsid w:val="00B73690"/>
    <w:rsid w:val="00B75142"/>
    <w:rsid w:val="00B83D0B"/>
    <w:rsid w:val="00B8734F"/>
    <w:rsid w:val="00B92349"/>
    <w:rsid w:val="00B944A5"/>
    <w:rsid w:val="00B94E4B"/>
    <w:rsid w:val="00BA163F"/>
    <w:rsid w:val="00BB0008"/>
    <w:rsid w:val="00BB0EB1"/>
    <w:rsid w:val="00BB7AB3"/>
    <w:rsid w:val="00BC633E"/>
    <w:rsid w:val="00BC7776"/>
    <w:rsid w:val="00BE5833"/>
    <w:rsid w:val="00BF29DB"/>
    <w:rsid w:val="00BF3E24"/>
    <w:rsid w:val="00BF463D"/>
    <w:rsid w:val="00BF46E1"/>
    <w:rsid w:val="00BF5BD8"/>
    <w:rsid w:val="00C05F0E"/>
    <w:rsid w:val="00C07829"/>
    <w:rsid w:val="00C144B5"/>
    <w:rsid w:val="00C1574D"/>
    <w:rsid w:val="00C1752A"/>
    <w:rsid w:val="00C2179A"/>
    <w:rsid w:val="00C23917"/>
    <w:rsid w:val="00C36D41"/>
    <w:rsid w:val="00C374EE"/>
    <w:rsid w:val="00C40108"/>
    <w:rsid w:val="00C415F2"/>
    <w:rsid w:val="00C42A53"/>
    <w:rsid w:val="00C50399"/>
    <w:rsid w:val="00C541CE"/>
    <w:rsid w:val="00C578D3"/>
    <w:rsid w:val="00C616ED"/>
    <w:rsid w:val="00C6557F"/>
    <w:rsid w:val="00C70534"/>
    <w:rsid w:val="00C73CD3"/>
    <w:rsid w:val="00C76C96"/>
    <w:rsid w:val="00C76D14"/>
    <w:rsid w:val="00C77E03"/>
    <w:rsid w:val="00C82E37"/>
    <w:rsid w:val="00C8570E"/>
    <w:rsid w:val="00C86823"/>
    <w:rsid w:val="00C9137B"/>
    <w:rsid w:val="00C96423"/>
    <w:rsid w:val="00C97EE8"/>
    <w:rsid w:val="00CA043F"/>
    <w:rsid w:val="00CA3B9A"/>
    <w:rsid w:val="00CB3A7F"/>
    <w:rsid w:val="00CD276D"/>
    <w:rsid w:val="00CD4086"/>
    <w:rsid w:val="00CD623E"/>
    <w:rsid w:val="00CE0EE0"/>
    <w:rsid w:val="00CE0FEA"/>
    <w:rsid w:val="00CF348D"/>
    <w:rsid w:val="00CF625F"/>
    <w:rsid w:val="00D03C74"/>
    <w:rsid w:val="00D05469"/>
    <w:rsid w:val="00D10C07"/>
    <w:rsid w:val="00D15FD9"/>
    <w:rsid w:val="00D23C18"/>
    <w:rsid w:val="00D23C33"/>
    <w:rsid w:val="00D24613"/>
    <w:rsid w:val="00D3462B"/>
    <w:rsid w:val="00D37AE9"/>
    <w:rsid w:val="00D37F30"/>
    <w:rsid w:val="00D41523"/>
    <w:rsid w:val="00D4561C"/>
    <w:rsid w:val="00D47E9B"/>
    <w:rsid w:val="00D53982"/>
    <w:rsid w:val="00D5510A"/>
    <w:rsid w:val="00D5566B"/>
    <w:rsid w:val="00D60CF1"/>
    <w:rsid w:val="00D62607"/>
    <w:rsid w:val="00D63433"/>
    <w:rsid w:val="00D6755E"/>
    <w:rsid w:val="00D72A07"/>
    <w:rsid w:val="00D75506"/>
    <w:rsid w:val="00D778E8"/>
    <w:rsid w:val="00D87D88"/>
    <w:rsid w:val="00D92376"/>
    <w:rsid w:val="00DA2512"/>
    <w:rsid w:val="00DA2CAF"/>
    <w:rsid w:val="00DB2F78"/>
    <w:rsid w:val="00DB3407"/>
    <w:rsid w:val="00DB4370"/>
    <w:rsid w:val="00DB5666"/>
    <w:rsid w:val="00DB7B5B"/>
    <w:rsid w:val="00DC18C0"/>
    <w:rsid w:val="00DC2F82"/>
    <w:rsid w:val="00DD6F3E"/>
    <w:rsid w:val="00DE7186"/>
    <w:rsid w:val="00DF11C6"/>
    <w:rsid w:val="00DF2CE7"/>
    <w:rsid w:val="00E00269"/>
    <w:rsid w:val="00E0232D"/>
    <w:rsid w:val="00E027C8"/>
    <w:rsid w:val="00E052F6"/>
    <w:rsid w:val="00E06562"/>
    <w:rsid w:val="00E12310"/>
    <w:rsid w:val="00E134CC"/>
    <w:rsid w:val="00E23F17"/>
    <w:rsid w:val="00E31174"/>
    <w:rsid w:val="00E32149"/>
    <w:rsid w:val="00E33104"/>
    <w:rsid w:val="00E343AA"/>
    <w:rsid w:val="00E4063C"/>
    <w:rsid w:val="00E4329A"/>
    <w:rsid w:val="00E44EF4"/>
    <w:rsid w:val="00E53708"/>
    <w:rsid w:val="00E53822"/>
    <w:rsid w:val="00E54B56"/>
    <w:rsid w:val="00E57B38"/>
    <w:rsid w:val="00E62D6D"/>
    <w:rsid w:val="00E65264"/>
    <w:rsid w:val="00E667B4"/>
    <w:rsid w:val="00E67678"/>
    <w:rsid w:val="00E70716"/>
    <w:rsid w:val="00E765AF"/>
    <w:rsid w:val="00E774B6"/>
    <w:rsid w:val="00E8494B"/>
    <w:rsid w:val="00E95CC3"/>
    <w:rsid w:val="00E96603"/>
    <w:rsid w:val="00E9675D"/>
    <w:rsid w:val="00E97839"/>
    <w:rsid w:val="00EA4E96"/>
    <w:rsid w:val="00EB1987"/>
    <w:rsid w:val="00EB5D9A"/>
    <w:rsid w:val="00EB6F47"/>
    <w:rsid w:val="00EC40F7"/>
    <w:rsid w:val="00ED00B0"/>
    <w:rsid w:val="00ED5F18"/>
    <w:rsid w:val="00ED62B2"/>
    <w:rsid w:val="00ED7888"/>
    <w:rsid w:val="00EE01CE"/>
    <w:rsid w:val="00EE134C"/>
    <w:rsid w:val="00EE55C7"/>
    <w:rsid w:val="00EF1AA3"/>
    <w:rsid w:val="00EF4744"/>
    <w:rsid w:val="00EF5DB5"/>
    <w:rsid w:val="00EF76C5"/>
    <w:rsid w:val="00F01EED"/>
    <w:rsid w:val="00F03B3A"/>
    <w:rsid w:val="00F0776B"/>
    <w:rsid w:val="00F0793E"/>
    <w:rsid w:val="00F1172A"/>
    <w:rsid w:val="00F14180"/>
    <w:rsid w:val="00F3004D"/>
    <w:rsid w:val="00F3339B"/>
    <w:rsid w:val="00F35E07"/>
    <w:rsid w:val="00F421D0"/>
    <w:rsid w:val="00F432B2"/>
    <w:rsid w:val="00F45CE3"/>
    <w:rsid w:val="00F505AE"/>
    <w:rsid w:val="00F5385C"/>
    <w:rsid w:val="00F63494"/>
    <w:rsid w:val="00F74251"/>
    <w:rsid w:val="00F77D4A"/>
    <w:rsid w:val="00F83C39"/>
    <w:rsid w:val="00F840DE"/>
    <w:rsid w:val="00F904F6"/>
    <w:rsid w:val="00F9248A"/>
    <w:rsid w:val="00F931A8"/>
    <w:rsid w:val="00F95F04"/>
    <w:rsid w:val="00F97B68"/>
    <w:rsid w:val="00FA16C2"/>
    <w:rsid w:val="00FA3DE1"/>
    <w:rsid w:val="00FA4FE0"/>
    <w:rsid w:val="00FB0125"/>
    <w:rsid w:val="00FC0C2D"/>
    <w:rsid w:val="00FC0E7B"/>
    <w:rsid w:val="00FC1964"/>
    <w:rsid w:val="00FC5E51"/>
    <w:rsid w:val="00FD22B2"/>
    <w:rsid w:val="00FE4EBB"/>
    <w:rsid w:val="00FE509C"/>
    <w:rsid w:val="00FF0C1F"/>
    <w:rsid w:val="00FF1868"/>
    <w:rsid w:val="00FF4902"/>
    <w:rsid w:val="00FF4D49"/>
    <w:rsid w:val="00FF541A"/>
    <w:rsid w:val="00FF663B"/>
    <w:rsid w:val="1119C7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27D36"/>
  <w15:docId w15:val="{EA34F369-EA71-4403-8A01-C2132612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qFormat="1"/>
    <w:lsdException w:name="List Bullet 3" w:semiHidden="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qFormat="1"/>
    <w:lsdException w:name="Body Text Indent 3" w:semiHidden="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3708"/>
    <w:pPr>
      <w:spacing w:after="0" w:line="240" w:lineRule="auto"/>
    </w:pPr>
    <w:rPr>
      <w:sz w:val="20"/>
    </w:rPr>
  </w:style>
  <w:style w:type="paragraph" w:styleId="Heading1">
    <w:name w:val="heading 1"/>
    <w:next w:val="BodyText"/>
    <w:link w:val="Heading1Char"/>
    <w:uiPriority w:val="9"/>
    <w:semiHidden/>
    <w:qFormat/>
    <w:rsid w:val="005C575F"/>
    <w:pPr>
      <w:numPr>
        <w:numId w:val="4"/>
      </w:numPr>
      <w:spacing w:before="240" w:after="60" w:line="240" w:lineRule="auto"/>
      <w:ind w:left="454" w:hanging="454"/>
      <w:outlineLvl w:val="0"/>
    </w:pPr>
    <w:rPr>
      <w:rFonts w:ascii="Arial" w:eastAsiaTheme="majorEastAsia" w:hAnsi="Arial" w:cstheme="majorBidi"/>
      <w:b/>
      <w:bCs/>
      <w:color w:val="FA4616" w:themeColor="accent1"/>
      <w:sz w:val="24"/>
      <w:szCs w:val="28"/>
    </w:rPr>
  </w:style>
  <w:style w:type="paragraph" w:styleId="Heading2">
    <w:name w:val="heading 2"/>
    <w:basedOn w:val="Heading1"/>
    <w:next w:val="BodyText"/>
    <w:link w:val="Heading2Char"/>
    <w:uiPriority w:val="9"/>
    <w:semiHidden/>
    <w:qFormat/>
    <w:rsid w:val="00512B05"/>
    <w:pPr>
      <w:keepNext/>
      <w:numPr>
        <w:ilvl w:val="1"/>
      </w:numPr>
      <w:outlineLvl w:val="1"/>
    </w:pPr>
    <w:rPr>
      <w:bCs w:val="0"/>
      <w:color w:val="000000" w:themeColor="text1"/>
      <w:sz w:val="20"/>
      <w:szCs w:val="26"/>
    </w:rPr>
  </w:style>
  <w:style w:type="paragraph" w:styleId="Heading3">
    <w:name w:val="heading 3"/>
    <w:basedOn w:val="Heading2"/>
    <w:next w:val="BodyText"/>
    <w:link w:val="Heading3Char"/>
    <w:uiPriority w:val="9"/>
    <w:semiHidden/>
    <w:qFormat/>
    <w:rsid w:val="00512B05"/>
    <w:pPr>
      <w:numPr>
        <w:ilvl w:val="2"/>
      </w:numPr>
      <w:outlineLvl w:val="2"/>
    </w:pPr>
    <w:rPr>
      <w:b w:val="0"/>
      <w:bCs/>
    </w:rPr>
  </w:style>
  <w:style w:type="paragraph" w:styleId="Heading4">
    <w:name w:val="heading 4"/>
    <w:basedOn w:val="Heading3"/>
    <w:next w:val="BodyText"/>
    <w:link w:val="Heading4Char"/>
    <w:uiPriority w:val="9"/>
    <w:semiHidden/>
    <w:rsid w:val="00512B05"/>
    <w:pPr>
      <w:numPr>
        <w:ilvl w:val="3"/>
      </w:numPr>
      <w:outlineLvl w:val="3"/>
    </w:pPr>
    <w:rPr>
      <w:bCs w:val="0"/>
      <w:iCs/>
    </w:rPr>
  </w:style>
  <w:style w:type="paragraph" w:styleId="Heading5">
    <w:name w:val="heading 5"/>
    <w:basedOn w:val="Heading4"/>
    <w:next w:val="BodyText"/>
    <w:link w:val="Heading5Char"/>
    <w:uiPriority w:val="9"/>
    <w:semiHidden/>
    <w:rsid w:val="00512B05"/>
    <w:pPr>
      <w:keepLines/>
      <w:numPr>
        <w:ilvl w:val="4"/>
      </w:numPr>
      <w:outlineLvl w:val="4"/>
    </w:pPr>
    <w:rPr>
      <w:rFonts w:asciiTheme="majorHAnsi" w:hAnsiTheme="majorHAnsi"/>
    </w:rPr>
  </w:style>
  <w:style w:type="paragraph" w:styleId="Heading6">
    <w:name w:val="heading 6"/>
    <w:basedOn w:val="Heading5"/>
    <w:next w:val="BodyText"/>
    <w:link w:val="Heading6Char"/>
    <w:uiPriority w:val="9"/>
    <w:semiHidden/>
    <w:rsid w:val="00512B05"/>
    <w:pPr>
      <w:numPr>
        <w:ilvl w:val="5"/>
      </w:numPr>
      <w:outlineLvl w:val="5"/>
    </w:pPr>
    <w:rPr>
      <w:iCs w:val="0"/>
    </w:rPr>
  </w:style>
  <w:style w:type="paragraph" w:styleId="Heading7">
    <w:name w:val="heading 7"/>
    <w:basedOn w:val="Heading6"/>
    <w:next w:val="BodyText"/>
    <w:link w:val="Heading7Char"/>
    <w:uiPriority w:val="9"/>
    <w:semiHidden/>
    <w:rsid w:val="00512B05"/>
    <w:pPr>
      <w:numPr>
        <w:ilvl w:val="6"/>
      </w:numPr>
      <w:outlineLvl w:val="6"/>
    </w:pPr>
    <w:rPr>
      <w:iCs/>
    </w:rPr>
  </w:style>
  <w:style w:type="paragraph" w:styleId="Heading8">
    <w:name w:val="heading 8"/>
    <w:basedOn w:val="Heading7"/>
    <w:next w:val="BodyText"/>
    <w:link w:val="Heading8Char"/>
    <w:uiPriority w:val="9"/>
    <w:semiHidden/>
    <w:rsid w:val="00512B05"/>
    <w:pPr>
      <w:numPr>
        <w:ilvl w:val="7"/>
      </w:numPr>
      <w:outlineLvl w:val="7"/>
    </w:pPr>
    <w:rPr>
      <w:szCs w:val="20"/>
    </w:rPr>
  </w:style>
  <w:style w:type="paragraph" w:styleId="Heading9">
    <w:name w:val="heading 9"/>
    <w:basedOn w:val="Heading8"/>
    <w:next w:val="BodyText"/>
    <w:link w:val="Heading9Char"/>
    <w:uiPriority w:val="9"/>
    <w:semiHidden/>
    <w:rsid w:val="00512B05"/>
    <w:pPr>
      <w:numPr>
        <w:ilvl w:val="8"/>
      </w:numPr>
      <w:outlineLvl w:val="8"/>
    </w:pPr>
    <w:rPr>
      <w:i/>
      <w:iCs w:val="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12B05"/>
    <w:pPr>
      <w:jc w:val="both"/>
    </w:pPr>
  </w:style>
  <w:style w:type="character" w:customStyle="1" w:styleId="BodyTextChar">
    <w:name w:val="Body Text Char"/>
    <w:basedOn w:val="DefaultParagraphFont"/>
    <w:link w:val="BodyText"/>
    <w:uiPriority w:val="99"/>
    <w:rsid w:val="009A18AA"/>
    <w:rPr>
      <w:sz w:val="20"/>
    </w:rPr>
  </w:style>
  <w:style w:type="character" w:customStyle="1" w:styleId="Heading1Char">
    <w:name w:val="Heading 1 Char"/>
    <w:basedOn w:val="DefaultParagraphFont"/>
    <w:link w:val="Heading1"/>
    <w:uiPriority w:val="9"/>
    <w:semiHidden/>
    <w:rsid w:val="00E53708"/>
    <w:rPr>
      <w:rFonts w:ascii="Arial" w:eastAsiaTheme="majorEastAsia" w:hAnsi="Arial" w:cstheme="majorBidi"/>
      <w:b/>
      <w:bCs/>
      <w:color w:val="FA4616" w:themeColor="accent1"/>
      <w:sz w:val="24"/>
      <w:szCs w:val="28"/>
    </w:rPr>
  </w:style>
  <w:style w:type="character" w:customStyle="1" w:styleId="Heading2Char">
    <w:name w:val="Heading 2 Char"/>
    <w:basedOn w:val="DefaultParagraphFont"/>
    <w:link w:val="Heading2"/>
    <w:uiPriority w:val="9"/>
    <w:semiHidden/>
    <w:rsid w:val="000510B8"/>
    <w:rPr>
      <w:rFonts w:ascii="Arial" w:eastAsiaTheme="majorEastAsia" w:hAnsi="Arial" w:cstheme="majorBidi"/>
      <w:b/>
      <w:color w:val="000000" w:themeColor="text1"/>
      <w:sz w:val="20"/>
      <w:szCs w:val="26"/>
    </w:rPr>
  </w:style>
  <w:style w:type="character" w:customStyle="1" w:styleId="Heading3Char">
    <w:name w:val="Heading 3 Char"/>
    <w:basedOn w:val="DefaultParagraphFont"/>
    <w:link w:val="Heading3"/>
    <w:uiPriority w:val="9"/>
    <w:semiHidden/>
    <w:rsid w:val="000510B8"/>
    <w:rPr>
      <w:rFonts w:ascii="Arial" w:eastAsiaTheme="majorEastAsia" w:hAnsi="Arial" w:cstheme="majorBidi"/>
      <w:bCs/>
      <w:color w:val="000000" w:themeColor="text1"/>
      <w:sz w:val="20"/>
      <w:szCs w:val="26"/>
    </w:rPr>
  </w:style>
  <w:style w:type="character" w:customStyle="1" w:styleId="Heading4Char">
    <w:name w:val="Heading 4 Char"/>
    <w:basedOn w:val="DefaultParagraphFont"/>
    <w:link w:val="Heading4"/>
    <w:uiPriority w:val="9"/>
    <w:semiHidden/>
    <w:rsid w:val="00512B05"/>
    <w:rPr>
      <w:rFonts w:ascii="Arial" w:eastAsiaTheme="majorEastAsia" w:hAnsi="Arial" w:cstheme="majorBidi"/>
      <w:iCs/>
      <w:color w:val="000000" w:themeColor="text1"/>
      <w:sz w:val="20"/>
      <w:szCs w:val="26"/>
    </w:rPr>
  </w:style>
  <w:style w:type="character" w:customStyle="1" w:styleId="Heading5Char">
    <w:name w:val="Heading 5 Char"/>
    <w:basedOn w:val="DefaultParagraphFont"/>
    <w:link w:val="Heading5"/>
    <w:uiPriority w:val="9"/>
    <w:semiHidden/>
    <w:rsid w:val="00512B05"/>
    <w:rPr>
      <w:rFonts w:asciiTheme="majorHAnsi" w:eastAsiaTheme="majorEastAsia" w:hAnsiTheme="majorHAnsi" w:cstheme="majorBidi"/>
      <w:iCs/>
      <w:color w:val="000000" w:themeColor="text1"/>
      <w:sz w:val="20"/>
      <w:szCs w:val="26"/>
    </w:rPr>
  </w:style>
  <w:style w:type="character" w:customStyle="1" w:styleId="Heading6Char">
    <w:name w:val="Heading 6 Char"/>
    <w:basedOn w:val="DefaultParagraphFont"/>
    <w:link w:val="Heading6"/>
    <w:uiPriority w:val="9"/>
    <w:semiHidden/>
    <w:rsid w:val="00512B05"/>
    <w:rPr>
      <w:rFonts w:asciiTheme="majorHAnsi" w:eastAsiaTheme="majorEastAsia" w:hAnsiTheme="majorHAnsi" w:cstheme="majorBidi"/>
      <w:color w:val="000000" w:themeColor="text1"/>
      <w:sz w:val="20"/>
      <w:szCs w:val="26"/>
    </w:rPr>
  </w:style>
  <w:style w:type="character" w:customStyle="1" w:styleId="Heading7Char">
    <w:name w:val="Heading 7 Char"/>
    <w:basedOn w:val="DefaultParagraphFont"/>
    <w:link w:val="Heading7"/>
    <w:uiPriority w:val="9"/>
    <w:semiHidden/>
    <w:rsid w:val="00512B05"/>
    <w:rPr>
      <w:rFonts w:asciiTheme="majorHAnsi" w:eastAsiaTheme="majorEastAsia" w:hAnsiTheme="majorHAnsi" w:cstheme="majorBidi"/>
      <w:iCs/>
      <w:color w:val="000000" w:themeColor="text1"/>
      <w:sz w:val="20"/>
      <w:szCs w:val="26"/>
    </w:rPr>
  </w:style>
  <w:style w:type="character" w:customStyle="1" w:styleId="Heading8Char">
    <w:name w:val="Heading 8 Char"/>
    <w:basedOn w:val="DefaultParagraphFont"/>
    <w:link w:val="Heading8"/>
    <w:uiPriority w:val="9"/>
    <w:semiHidden/>
    <w:rsid w:val="00512B05"/>
    <w:rPr>
      <w:rFonts w:asciiTheme="majorHAnsi" w:eastAsiaTheme="majorEastAsia" w:hAnsiTheme="majorHAnsi" w:cstheme="majorBidi"/>
      <w:iCs/>
      <w:color w:val="000000" w:themeColor="text1"/>
      <w:sz w:val="20"/>
      <w:szCs w:val="20"/>
    </w:rPr>
  </w:style>
  <w:style w:type="character" w:customStyle="1" w:styleId="Heading9Char">
    <w:name w:val="Heading 9 Char"/>
    <w:basedOn w:val="DefaultParagraphFont"/>
    <w:link w:val="Heading9"/>
    <w:uiPriority w:val="9"/>
    <w:semiHidden/>
    <w:rsid w:val="00512B05"/>
    <w:rPr>
      <w:rFonts w:asciiTheme="majorHAnsi" w:eastAsiaTheme="majorEastAsia" w:hAnsiTheme="majorHAnsi" w:cstheme="majorBidi"/>
      <w:i/>
      <w:color w:val="000000" w:themeColor="text1"/>
      <w:sz w:val="18"/>
      <w:szCs w:val="20"/>
    </w:rPr>
  </w:style>
  <w:style w:type="paragraph" w:styleId="Header">
    <w:name w:val="header"/>
    <w:basedOn w:val="Normal"/>
    <w:link w:val="HeaderChar"/>
    <w:uiPriority w:val="99"/>
    <w:semiHidden/>
    <w:rsid w:val="00512B05"/>
    <w:pPr>
      <w:tabs>
        <w:tab w:val="center" w:pos="4513"/>
        <w:tab w:val="right" w:pos="9026"/>
      </w:tabs>
    </w:pPr>
    <w:rPr>
      <w:rFonts w:ascii="Arial" w:hAnsi="Arial"/>
      <w:sz w:val="32"/>
    </w:rPr>
  </w:style>
  <w:style w:type="character" w:customStyle="1" w:styleId="HeaderChar">
    <w:name w:val="Header Char"/>
    <w:basedOn w:val="DefaultParagraphFont"/>
    <w:link w:val="Header"/>
    <w:uiPriority w:val="99"/>
    <w:semiHidden/>
    <w:rsid w:val="000510B8"/>
    <w:rPr>
      <w:rFonts w:ascii="Arial" w:hAnsi="Arial"/>
      <w:sz w:val="32"/>
    </w:rPr>
  </w:style>
  <w:style w:type="paragraph" w:styleId="Footer">
    <w:name w:val="footer"/>
    <w:basedOn w:val="Normal"/>
    <w:link w:val="FooterChar"/>
    <w:uiPriority w:val="99"/>
    <w:qFormat/>
    <w:rsid w:val="00EB5D9A"/>
    <w:pPr>
      <w:tabs>
        <w:tab w:val="right" w:pos="9026"/>
      </w:tabs>
    </w:pPr>
    <w:rPr>
      <w:rFonts w:ascii="Arial" w:hAnsi="Arial"/>
    </w:rPr>
  </w:style>
  <w:style w:type="character" w:customStyle="1" w:styleId="FooterChar">
    <w:name w:val="Footer Char"/>
    <w:basedOn w:val="DefaultParagraphFont"/>
    <w:link w:val="Footer"/>
    <w:uiPriority w:val="99"/>
    <w:rsid w:val="00EB5D9A"/>
    <w:rPr>
      <w:rFonts w:ascii="Arial" w:hAnsi="Arial"/>
      <w:sz w:val="20"/>
    </w:rPr>
  </w:style>
  <w:style w:type="paragraph" w:customStyle="1" w:styleId="OriginDocumentType">
    <w:name w:val="Origin Document Type"/>
    <w:basedOn w:val="Normal"/>
    <w:semiHidden/>
    <w:qFormat/>
    <w:rsid w:val="00C86823"/>
    <w:pPr>
      <w:jc w:val="both"/>
    </w:pPr>
    <w:rPr>
      <w:rFonts w:ascii="Arial" w:hAnsi="Arial"/>
      <w:sz w:val="40"/>
    </w:rPr>
  </w:style>
  <w:style w:type="paragraph" w:styleId="BalloonText">
    <w:name w:val="Balloon Text"/>
    <w:basedOn w:val="Normal"/>
    <w:link w:val="BalloonTextChar"/>
    <w:uiPriority w:val="99"/>
    <w:semiHidden/>
    <w:unhideWhenUsed/>
    <w:rsid w:val="000510B8"/>
    <w:rPr>
      <w:rFonts w:ascii="Tahoma" w:hAnsi="Tahoma" w:cs="Tahoma"/>
      <w:sz w:val="16"/>
      <w:szCs w:val="16"/>
    </w:rPr>
  </w:style>
  <w:style w:type="character" w:customStyle="1" w:styleId="BalloonTextChar">
    <w:name w:val="Balloon Text Char"/>
    <w:basedOn w:val="DefaultParagraphFont"/>
    <w:link w:val="BalloonText"/>
    <w:uiPriority w:val="99"/>
    <w:semiHidden/>
    <w:rsid w:val="000510B8"/>
    <w:rPr>
      <w:rFonts w:ascii="Tahoma" w:hAnsi="Tahoma" w:cs="Tahoma"/>
      <w:sz w:val="16"/>
      <w:szCs w:val="16"/>
    </w:rPr>
  </w:style>
  <w:style w:type="table" w:styleId="TableGrid">
    <w:name w:val="Table Grid"/>
    <w:basedOn w:val="TableNormal"/>
    <w:uiPriority w:val="39"/>
    <w:rsid w:val="002E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E704A"/>
    <w:pPr>
      <w:spacing w:after="0" w:line="240" w:lineRule="auto"/>
    </w:pPr>
    <w:rPr>
      <w:color w:val="C72C04" w:themeColor="accent1" w:themeShade="BF"/>
    </w:rPr>
    <w:tblPr>
      <w:tblStyleRowBandSize w:val="1"/>
      <w:tblStyleColBandSize w:val="1"/>
      <w:tblBorders>
        <w:top w:val="single" w:sz="8" w:space="0" w:color="FA4616" w:themeColor="accent1"/>
        <w:bottom w:val="single" w:sz="8" w:space="0" w:color="FA4616" w:themeColor="accent1"/>
      </w:tblBorders>
    </w:tblPr>
    <w:tblStylePr w:type="firstRow">
      <w:pPr>
        <w:spacing w:before="0" w:after="0" w:line="240" w:lineRule="auto"/>
      </w:pPr>
      <w:rPr>
        <w:b/>
        <w:bCs/>
      </w:rPr>
      <w:tblPr/>
      <w:tcPr>
        <w:tcBorders>
          <w:top w:val="single" w:sz="8" w:space="0" w:color="FA4616" w:themeColor="accent1"/>
          <w:left w:val="nil"/>
          <w:bottom w:val="single" w:sz="8" w:space="0" w:color="FA4616" w:themeColor="accent1"/>
          <w:right w:val="nil"/>
          <w:insideH w:val="nil"/>
          <w:insideV w:val="nil"/>
        </w:tcBorders>
      </w:tcPr>
    </w:tblStylePr>
    <w:tblStylePr w:type="lastRow">
      <w:pPr>
        <w:spacing w:before="0" w:after="0" w:line="240" w:lineRule="auto"/>
      </w:pPr>
      <w:rPr>
        <w:b/>
        <w:bCs/>
      </w:rPr>
      <w:tblPr/>
      <w:tcPr>
        <w:tcBorders>
          <w:top w:val="single" w:sz="8" w:space="0" w:color="FA4616" w:themeColor="accent1"/>
          <w:left w:val="nil"/>
          <w:bottom w:val="single" w:sz="8" w:space="0" w:color="FA461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0C5" w:themeFill="accent1" w:themeFillTint="3F"/>
      </w:tcPr>
    </w:tblStylePr>
    <w:tblStylePr w:type="band1Horz">
      <w:tblPr/>
      <w:tcPr>
        <w:tcBorders>
          <w:left w:val="nil"/>
          <w:right w:val="nil"/>
          <w:insideH w:val="nil"/>
          <w:insideV w:val="nil"/>
        </w:tcBorders>
        <w:shd w:val="clear" w:color="auto" w:fill="FDD0C5" w:themeFill="accent1" w:themeFillTint="3F"/>
      </w:tcPr>
    </w:tblStylePr>
  </w:style>
  <w:style w:type="table" w:styleId="MediumGrid1-Accent1">
    <w:name w:val="Medium Grid 1 Accent 1"/>
    <w:basedOn w:val="TableNormal"/>
    <w:uiPriority w:val="67"/>
    <w:rsid w:val="002E704A"/>
    <w:pPr>
      <w:spacing w:after="0" w:line="240" w:lineRule="auto"/>
    </w:pPr>
    <w:tblPr>
      <w:tblStyleRowBandSize w:val="1"/>
      <w:tblStyleColBandSize w:val="1"/>
      <w:tblBorders>
        <w:top w:val="single" w:sz="8" w:space="0" w:color="FB7350" w:themeColor="accent1" w:themeTint="BF"/>
        <w:left w:val="single" w:sz="8" w:space="0" w:color="FB7350" w:themeColor="accent1" w:themeTint="BF"/>
        <w:bottom w:val="single" w:sz="8" w:space="0" w:color="FB7350" w:themeColor="accent1" w:themeTint="BF"/>
        <w:right w:val="single" w:sz="8" w:space="0" w:color="FB7350" w:themeColor="accent1" w:themeTint="BF"/>
        <w:insideH w:val="single" w:sz="8" w:space="0" w:color="FB7350" w:themeColor="accent1" w:themeTint="BF"/>
        <w:insideV w:val="single" w:sz="8" w:space="0" w:color="FB7350" w:themeColor="accent1" w:themeTint="BF"/>
      </w:tblBorders>
    </w:tblPr>
    <w:tcPr>
      <w:shd w:val="clear" w:color="auto" w:fill="FDD0C5" w:themeFill="accent1" w:themeFillTint="3F"/>
    </w:tcPr>
    <w:tblStylePr w:type="firstRow">
      <w:rPr>
        <w:b/>
        <w:bCs/>
      </w:rPr>
    </w:tblStylePr>
    <w:tblStylePr w:type="lastRow">
      <w:rPr>
        <w:b/>
        <w:bCs/>
      </w:rPr>
      <w:tblPr/>
      <w:tcPr>
        <w:tcBorders>
          <w:top w:val="single" w:sz="18" w:space="0" w:color="FB7350" w:themeColor="accent1" w:themeTint="BF"/>
        </w:tcBorders>
      </w:tcPr>
    </w:tblStylePr>
    <w:tblStylePr w:type="firstCol">
      <w:rPr>
        <w:b/>
        <w:bCs/>
      </w:rPr>
    </w:tblStylePr>
    <w:tblStylePr w:type="lastCol">
      <w:rPr>
        <w:b/>
        <w:bCs/>
      </w:rPr>
    </w:tblStylePr>
    <w:tblStylePr w:type="band1Vert">
      <w:tblPr/>
      <w:tcPr>
        <w:shd w:val="clear" w:color="auto" w:fill="FCA28A" w:themeFill="accent1" w:themeFillTint="7F"/>
      </w:tcPr>
    </w:tblStylePr>
    <w:tblStylePr w:type="band1Horz">
      <w:tblPr/>
      <w:tcPr>
        <w:shd w:val="clear" w:color="auto" w:fill="FCA28A" w:themeFill="accent1" w:themeFillTint="7F"/>
      </w:tcPr>
    </w:tblStylePr>
  </w:style>
  <w:style w:type="paragraph" w:customStyle="1" w:styleId="PlaceholderText1">
    <w:name w:val="Placeholder Text1"/>
    <w:basedOn w:val="Normal"/>
    <w:semiHidden/>
    <w:qFormat/>
    <w:rsid w:val="00DA2512"/>
    <w:rPr>
      <w:rFonts w:ascii="Arial" w:hAnsi="Arial"/>
      <w:noProof/>
    </w:rPr>
  </w:style>
  <w:style w:type="paragraph" w:customStyle="1" w:styleId="TableBold">
    <w:name w:val="Table Bold"/>
    <w:basedOn w:val="Normal"/>
    <w:semiHidden/>
    <w:qFormat/>
    <w:rsid w:val="00721205"/>
    <w:pPr>
      <w:spacing w:before="60" w:after="60"/>
    </w:pPr>
    <w:rPr>
      <w:rFonts w:ascii="Arial" w:hAnsi="Arial"/>
      <w:b/>
    </w:rPr>
  </w:style>
  <w:style w:type="character" w:styleId="Hyperlink">
    <w:name w:val="Hyperlink"/>
    <w:basedOn w:val="DefaultParagraphFont"/>
    <w:uiPriority w:val="99"/>
    <w:semiHidden/>
    <w:rsid w:val="008C6481"/>
    <w:rPr>
      <w:color w:val="003087" w:themeColor="hyperlink"/>
      <w:u w:val="single"/>
    </w:rPr>
  </w:style>
  <w:style w:type="paragraph" w:customStyle="1" w:styleId="TableText">
    <w:name w:val="Table Text"/>
    <w:basedOn w:val="Normal"/>
    <w:semiHidden/>
    <w:qFormat/>
    <w:rsid w:val="00A042E9"/>
    <w:pPr>
      <w:spacing w:before="60" w:after="60"/>
    </w:pPr>
    <w:rPr>
      <w:rFonts w:ascii="Arial" w:hAnsi="Arial"/>
    </w:rPr>
  </w:style>
  <w:style w:type="paragraph" w:customStyle="1" w:styleId="TableHeadings">
    <w:name w:val="Table Headings"/>
    <w:basedOn w:val="TableBold"/>
    <w:semiHidden/>
    <w:qFormat/>
    <w:rsid w:val="00512B05"/>
    <w:pPr>
      <w:spacing w:before="120" w:after="120"/>
    </w:pPr>
    <w:rPr>
      <w:color w:val="FA4616" w:themeColor="accent1"/>
    </w:rPr>
  </w:style>
  <w:style w:type="character" w:styleId="PlaceholderText">
    <w:name w:val="Placeholder Text"/>
    <w:basedOn w:val="DefaultParagraphFont"/>
    <w:uiPriority w:val="99"/>
    <w:semiHidden/>
    <w:rsid w:val="00DB2F78"/>
    <w:rPr>
      <w:color w:val="808080"/>
    </w:rPr>
  </w:style>
  <w:style w:type="paragraph" w:styleId="TableofFigures">
    <w:name w:val="table of figures"/>
    <w:basedOn w:val="Normal"/>
    <w:next w:val="Normal"/>
    <w:uiPriority w:val="99"/>
    <w:semiHidden/>
    <w:rsid w:val="009D452D"/>
  </w:style>
  <w:style w:type="paragraph" w:styleId="ListBullet4">
    <w:name w:val="List Bullet 4"/>
    <w:basedOn w:val="Normal"/>
    <w:uiPriority w:val="99"/>
    <w:semiHidden/>
    <w:rsid w:val="000510B8"/>
    <w:pPr>
      <w:ind w:left="1135" w:hanging="284"/>
      <w:contextualSpacing/>
    </w:pPr>
  </w:style>
  <w:style w:type="paragraph" w:styleId="ListBullet5">
    <w:name w:val="List Bullet 5"/>
    <w:basedOn w:val="ListBullet4"/>
    <w:uiPriority w:val="99"/>
    <w:semiHidden/>
    <w:rsid w:val="006C76EA"/>
    <w:pPr>
      <w:ind w:left="1418"/>
    </w:pPr>
  </w:style>
  <w:style w:type="paragraph" w:customStyle="1" w:styleId="OriginHeading">
    <w:name w:val="Origin Heading"/>
    <w:basedOn w:val="Normal"/>
    <w:semiHidden/>
    <w:qFormat/>
    <w:rsid w:val="00E23F17"/>
    <w:pPr>
      <w:spacing w:before="180" w:after="200"/>
    </w:pPr>
    <w:rPr>
      <w:rFonts w:asciiTheme="majorHAnsi" w:hAnsiTheme="majorHAnsi"/>
      <w:color w:val="6E6E6E" w:themeColor="text2"/>
      <w:sz w:val="34"/>
    </w:rPr>
  </w:style>
  <w:style w:type="paragraph" w:styleId="ListNumber">
    <w:name w:val="List Number"/>
    <w:basedOn w:val="TableText"/>
    <w:uiPriority w:val="99"/>
    <w:semiHidden/>
    <w:qFormat/>
    <w:rsid w:val="00DB3407"/>
    <w:pPr>
      <w:numPr>
        <w:numId w:val="5"/>
      </w:numPr>
      <w:contextualSpacing/>
    </w:pPr>
  </w:style>
  <w:style w:type="character" w:customStyle="1" w:styleId="BodyBoldCharacter">
    <w:name w:val="Body Bold Character"/>
    <w:basedOn w:val="BodyTextChar"/>
    <w:uiPriority w:val="1"/>
    <w:qFormat/>
    <w:rsid w:val="0072565F"/>
    <w:rPr>
      <w:rFonts w:asciiTheme="minorHAnsi" w:hAnsiTheme="minorHAnsi"/>
      <w:b/>
      <w:sz w:val="20"/>
    </w:rPr>
  </w:style>
  <w:style w:type="paragraph" w:customStyle="1" w:styleId="Footerdetails">
    <w:name w:val="Footer details"/>
    <w:basedOn w:val="Footer"/>
    <w:qFormat/>
    <w:rsid w:val="00740073"/>
  </w:style>
  <w:style w:type="character" w:styleId="UnresolvedMention">
    <w:name w:val="Unresolved Mention"/>
    <w:basedOn w:val="DefaultParagraphFont"/>
    <w:uiPriority w:val="99"/>
    <w:rsid w:val="004E3F06"/>
    <w:rPr>
      <w:color w:val="808080"/>
      <w:shd w:val="clear" w:color="auto" w:fill="E6E6E6"/>
    </w:rPr>
  </w:style>
  <w:style w:type="paragraph" w:styleId="ListParagraph">
    <w:name w:val="List Paragraph"/>
    <w:basedOn w:val="Normal"/>
    <w:uiPriority w:val="34"/>
    <w:qFormat/>
    <w:rsid w:val="00664328"/>
    <w:pPr>
      <w:spacing w:after="160" w:line="259" w:lineRule="auto"/>
      <w:ind w:left="720"/>
      <w:contextualSpacing/>
    </w:pPr>
    <w:rPr>
      <w:sz w:val="22"/>
    </w:rPr>
  </w:style>
  <w:style w:type="paragraph" w:customStyle="1" w:styleId="ActHead5">
    <w:name w:val="ActHead 5"/>
    <w:aliases w:val="s"/>
    <w:basedOn w:val="Normal"/>
    <w:next w:val="Normal"/>
    <w:link w:val="ActHead5Char"/>
    <w:qFormat/>
    <w:rsid w:val="00057E7F"/>
    <w:pPr>
      <w:keepNext/>
      <w:keepLines/>
      <w:spacing w:before="280"/>
      <w:ind w:left="1134" w:hanging="1134"/>
      <w:outlineLvl w:val="4"/>
    </w:pPr>
    <w:rPr>
      <w:rFonts w:ascii="Times New Roman" w:eastAsia="Times New Roman" w:hAnsi="Times New Roman" w:cs="Times New Roman"/>
      <w:b/>
      <w:kern w:val="28"/>
      <w:sz w:val="24"/>
      <w:szCs w:val="20"/>
      <w:lang w:eastAsia="en-AU"/>
    </w:rPr>
  </w:style>
  <w:style w:type="character" w:customStyle="1" w:styleId="ActHead5Char">
    <w:name w:val="ActHead 5 Char"/>
    <w:aliases w:val="s Char"/>
    <w:link w:val="ActHead5"/>
    <w:rsid w:val="00057E7F"/>
    <w:rPr>
      <w:rFonts w:ascii="Times New Roman" w:eastAsia="Times New Roman" w:hAnsi="Times New Roman" w:cs="Times New Roman"/>
      <w:b/>
      <w:kern w:val="28"/>
      <w:sz w:val="24"/>
      <w:szCs w:val="20"/>
      <w:lang w:eastAsia="en-AU"/>
    </w:rPr>
  </w:style>
  <w:style w:type="paragraph" w:customStyle="1" w:styleId="ActHead3">
    <w:name w:val="ActHead 3"/>
    <w:aliases w:val="d"/>
    <w:basedOn w:val="Normal"/>
    <w:next w:val="Normal"/>
    <w:qFormat/>
    <w:rsid w:val="00057E7F"/>
    <w:pPr>
      <w:keepNext/>
      <w:keepLines/>
      <w:spacing w:before="240"/>
      <w:ind w:left="1134" w:hanging="1134"/>
      <w:outlineLvl w:val="2"/>
    </w:pPr>
    <w:rPr>
      <w:rFonts w:ascii="Times New Roman" w:eastAsia="Times New Roman" w:hAnsi="Times New Roman" w:cs="Times New Roman"/>
      <w:b/>
      <w:kern w:val="28"/>
      <w:sz w:val="28"/>
      <w:szCs w:val="20"/>
      <w:lang w:eastAsia="en-AU"/>
    </w:rPr>
  </w:style>
  <w:style w:type="paragraph" w:customStyle="1" w:styleId="subsection">
    <w:name w:val="subsection"/>
    <w:aliases w:val="ss"/>
    <w:basedOn w:val="Normal"/>
    <w:link w:val="subsectionChar"/>
    <w:rsid w:val="00D47E9B"/>
    <w:pPr>
      <w:tabs>
        <w:tab w:val="right" w:pos="1021"/>
      </w:tabs>
      <w:spacing w:before="180"/>
      <w:ind w:left="1134" w:hanging="1134"/>
    </w:pPr>
    <w:rPr>
      <w:rFonts w:ascii="Times New Roman" w:eastAsia="Times New Roman" w:hAnsi="Times New Roman" w:cs="Times New Roman"/>
      <w:sz w:val="22"/>
      <w:szCs w:val="20"/>
      <w:lang w:eastAsia="en-AU"/>
    </w:rPr>
  </w:style>
  <w:style w:type="paragraph" w:customStyle="1" w:styleId="paragraphsub">
    <w:name w:val="paragraph(sub)"/>
    <w:aliases w:val="aa"/>
    <w:basedOn w:val="Normal"/>
    <w:rsid w:val="00D47E9B"/>
    <w:pPr>
      <w:tabs>
        <w:tab w:val="right" w:pos="1985"/>
      </w:tabs>
      <w:spacing w:before="40"/>
      <w:ind w:left="2098" w:hanging="2098"/>
    </w:pPr>
    <w:rPr>
      <w:rFonts w:ascii="Times New Roman" w:eastAsia="Times New Roman" w:hAnsi="Times New Roman" w:cs="Times New Roman"/>
      <w:sz w:val="22"/>
      <w:szCs w:val="20"/>
      <w:lang w:eastAsia="en-AU"/>
    </w:rPr>
  </w:style>
  <w:style w:type="character" w:customStyle="1" w:styleId="subsectionChar">
    <w:name w:val="subsection Char"/>
    <w:aliases w:val="ss Char"/>
    <w:link w:val="subsection"/>
    <w:locked/>
    <w:rsid w:val="00D47E9B"/>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8B718C"/>
    <w:rPr>
      <w:sz w:val="16"/>
      <w:szCs w:val="16"/>
    </w:rPr>
  </w:style>
  <w:style w:type="paragraph" w:styleId="CommentText">
    <w:name w:val="annotation text"/>
    <w:basedOn w:val="Normal"/>
    <w:link w:val="CommentTextChar"/>
    <w:uiPriority w:val="99"/>
    <w:unhideWhenUsed/>
    <w:rsid w:val="008B718C"/>
    <w:rPr>
      <w:szCs w:val="20"/>
    </w:rPr>
  </w:style>
  <w:style w:type="character" w:customStyle="1" w:styleId="CommentTextChar">
    <w:name w:val="Comment Text Char"/>
    <w:basedOn w:val="DefaultParagraphFont"/>
    <w:link w:val="CommentText"/>
    <w:uiPriority w:val="99"/>
    <w:rsid w:val="008B718C"/>
    <w:rPr>
      <w:sz w:val="20"/>
      <w:szCs w:val="20"/>
    </w:rPr>
  </w:style>
  <w:style w:type="paragraph" w:styleId="CommentSubject">
    <w:name w:val="annotation subject"/>
    <w:basedOn w:val="CommentText"/>
    <w:next w:val="CommentText"/>
    <w:link w:val="CommentSubjectChar"/>
    <w:uiPriority w:val="99"/>
    <w:semiHidden/>
    <w:unhideWhenUsed/>
    <w:rsid w:val="008B718C"/>
    <w:rPr>
      <w:b/>
      <w:bCs/>
    </w:rPr>
  </w:style>
  <w:style w:type="character" w:customStyle="1" w:styleId="CommentSubjectChar">
    <w:name w:val="Comment Subject Char"/>
    <w:basedOn w:val="CommentTextChar"/>
    <w:link w:val="CommentSubject"/>
    <w:uiPriority w:val="99"/>
    <w:semiHidden/>
    <w:rsid w:val="008B718C"/>
    <w:rPr>
      <w:b/>
      <w:bCs/>
      <w:sz w:val="20"/>
      <w:szCs w:val="20"/>
    </w:rPr>
  </w:style>
  <w:style w:type="paragraph" w:styleId="FootnoteText">
    <w:name w:val="footnote text"/>
    <w:basedOn w:val="Normal"/>
    <w:link w:val="FootnoteTextChar"/>
    <w:uiPriority w:val="99"/>
    <w:semiHidden/>
    <w:unhideWhenUsed/>
    <w:rsid w:val="00B731C2"/>
    <w:rPr>
      <w:rFonts w:ascii="Trebuchet MS" w:eastAsia="Times New Roman" w:hAnsi="Trebuchet MS" w:cs="Times New Roman"/>
      <w:szCs w:val="20"/>
    </w:rPr>
  </w:style>
  <w:style w:type="character" w:customStyle="1" w:styleId="FootnoteTextChar">
    <w:name w:val="Footnote Text Char"/>
    <w:basedOn w:val="DefaultParagraphFont"/>
    <w:link w:val="FootnoteText"/>
    <w:uiPriority w:val="99"/>
    <w:semiHidden/>
    <w:rsid w:val="00B731C2"/>
    <w:rPr>
      <w:rFonts w:ascii="Trebuchet MS" w:eastAsia="Times New Roman" w:hAnsi="Trebuchet MS" w:cs="Times New Roman"/>
      <w:sz w:val="20"/>
      <w:szCs w:val="20"/>
    </w:rPr>
  </w:style>
  <w:style w:type="character" w:styleId="FootnoteReference">
    <w:name w:val="footnote reference"/>
    <w:basedOn w:val="DefaultParagraphFont"/>
    <w:uiPriority w:val="99"/>
    <w:unhideWhenUsed/>
    <w:rsid w:val="00B731C2"/>
    <w:rPr>
      <w:vertAlign w:val="superscript"/>
    </w:rPr>
  </w:style>
  <w:style w:type="paragraph" w:customStyle="1" w:styleId="AECletterbody">
    <w:name w:val="AEC letter body"/>
    <w:basedOn w:val="Normal"/>
    <w:uiPriority w:val="99"/>
    <w:rsid w:val="00B731C2"/>
    <w:pPr>
      <w:suppressAutoHyphens/>
      <w:autoSpaceDE w:val="0"/>
      <w:autoSpaceDN w:val="0"/>
      <w:adjustRightInd w:val="0"/>
      <w:spacing w:after="240" w:line="240" w:lineRule="atLeast"/>
      <w:textAlignment w:val="center"/>
    </w:pPr>
    <w:rPr>
      <w:rFonts w:ascii="DINPro-Light" w:eastAsia="Calibri" w:hAnsi="DINPro-Light" w:cs="Open Sans"/>
      <w:color w:val="000000"/>
      <w:sz w:val="18"/>
      <w:szCs w:val="18"/>
      <w:lang w:val="en-US"/>
    </w:rPr>
  </w:style>
  <w:style w:type="paragraph" w:styleId="Revision">
    <w:name w:val="Revision"/>
    <w:hidden/>
    <w:uiPriority w:val="99"/>
    <w:semiHidden/>
    <w:rsid w:val="005F21AC"/>
    <w:pPr>
      <w:spacing w:after="0" w:line="240" w:lineRule="auto"/>
    </w:pPr>
    <w:rPr>
      <w:sz w:val="20"/>
    </w:rPr>
  </w:style>
  <w:style w:type="paragraph" w:customStyle="1" w:styleId="Default">
    <w:name w:val="Default"/>
    <w:rsid w:val="0035445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335945">
      <w:bodyDiv w:val="1"/>
      <w:marLeft w:val="0"/>
      <w:marRight w:val="0"/>
      <w:marTop w:val="0"/>
      <w:marBottom w:val="0"/>
      <w:divBdr>
        <w:top w:val="none" w:sz="0" w:space="0" w:color="auto"/>
        <w:left w:val="none" w:sz="0" w:space="0" w:color="auto"/>
        <w:bottom w:val="none" w:sz="0" w:space="0" w:color="auto"/>
        <w:right w:val="none" w:sz="0" w:space="0" w:color="auto"/>
      </w:divBdr>
      <w:divsChild>
        <w:div w:id="20789349">
          <w:marLeft w:val="806"/>
          <w:marRight w:val="0"/>
          <w:marTop w:val="0"/>
          <w:marBottom w:val="0"/>
          <w:divBdr>
            <w:top w:val="none" w:sz="0" w:space="0" w:color="auto"/>
            <w:left w:val="none" w:sz="0" w:space="0" w:color="auto"/>
            <w:bottom w:val="none" w:sz="0" w:space="0" w:color="auto"/>
            <w:right w:val="none" w:sz="0" w:space="0" w:color="auto"/>
          </w:divBdr>
        </w:div>
        <w:div w:id="979188194">
          <w:marLeft w:val="806"/>
          <w:marRight w:val="0"/>
          <w:marTop w:val="0"/>
          <w:marBottom w:val="0"/>
          <w:divBdr>
            <w:top w:val="none" w:sz="0" w:space="0" w:color="auto"/>
            <w:left w:val="none" w:sz="0" w:space="0" w:color="auto"/>
            <w:bottom w:val="none" w:sz="0" w:space="0" w:color="auto"/>
            <w:right w:val="none" w:sz="0" w:space="0" w:color="auto"/>
          </w:divBdr>
        </w:div>
      </w:divsChild>
    </w:div>
    <w:div w:id="1569613767">
      <w:bodyDiv w:val="1"/>
      <w:marLeft w:val="0"/>
      <w:marRight w:val="0"/>
      <w:marTop w:val="0"/>
      <w:marBottom w:val="0"/>
      <w:divBdr>
        <w:top w:val="none" w:sz="0" w:space="0" w:color="auto"/>
        <w:left w:val="none" w:sz="0" w:space="0" w:color="auto"/>
        <w:bottom w:val="none" w:sz="0" w:space="0" w:color="auto"/>
        <w:right w:val="none" w:sz="0" w:space="0" w:color="auto"/>
      </w:divBdr>
    </w:div>
    <w:div w:id="15814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578A896344485F90E0A1B5DE6CE0BA"/>
        <w:category>
          <w:name w:val="General"/>
          <w:gallery w:val="placeholder"/>
        </w:category>
        <w:types>
          <w:type w:val="bbPlcHdr"/>
        </w:types>
        <w:behaviors>
          <w:behavior w:val="content"/>
        </w:behaviors>
        <w:guid w:val="{6F126E31-BE24-4B1C-A4A1-7EB1E91A3E86}"/>
      </w:docPartPr>
      <w:docPartBody>
        <w:p w:rsidR="00AE04D2" w:rsidRDefault="00AE04D2">
          <w:pPr>
            <w:pStyle w:val="78578A896344485F90E0A1B5DE6CE0BA"/>
          </w:pPr>
          <w:r w:rsidRPr="002162A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DINPro-Light">
    <w:altName w:val="Arial"/>
    <w:panose1 w:val="020B0604020202020204"/>
    <w:charset w:val="00"/>
    <w:family w:val="swiss"/>
    <w:notTrueType/>
    <w:pitch w:val="variable"/>
    <w:sig w:usb0="A00002BF" w:usb1="4000207B" w:usb2="00000008" w:usb3="00000000" w:csb0="0000009F" w:csb1="00000000"/>
  </w:font>
  <w:font w:name="Open Sans">
    <w:altName w:val="Verdana"/>
    <w:panose1 w:val="020B0604020202020204"/>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D2"/>
    <w:rsid w:val="00055EAC"/>
    <w:rsid w:val="0010055C"/>
    <w:rsid w:val="002B7143"/>
    <w:rsid w:val="00442425"/>
    <w:rsid w:val="00490075"/>
    <w:rsid w:val="005E2C14"/>
    <w:rsid w:val="006D5870"/>
    <w:rsid w:val="00701998"/>
    <w:rsid w:val="00AE04D2"/>
    <w:rsid w:val="00C61BD4"/>
    <w:rsid w:val="00C63FEC"/>
    <w:rsid w:val="00F24DFD"/>
    <w:rsid w:val="00F34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8578A896344485F90E0A1B5DE6CE0BA">
    <w:name w:val="78578A896344485F90E0A1B5DE6CE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Origin 2018">
      <a:dk1>
        <a:srgbClr val="000000"/>
      </a:dk1>
      <a:lt1>
        <a:srgbClr val="FFFFFF"/>
      </a:lt1>
      <a:dk2>
        <a:srgbClr val="6E6E6E"/>
      </a:dk2>
      <a:lt2>
        <a:srgbClr val="F7F7F7"/>
      </a:lt2>
      <a:accent1>
        <a:srgbClr val="FA4616"/>
      </a:accent1>
      <a:accent2>
        <a:srgbClr val="FF373C"/>
      </a:accent2>
      <a:accent3>
        <a:srgbClr val="FF8228"/>
      </a:accent3>
      <a:accent4>
        <a:srgbClr val="FFC72C"/>
      </a:accent4>
      <a:accent5>
        <a:srgbClr val="3F75C6"/>
      </a:accent5>
      <a:accent6>
        <a:srgbClr val="D2F0FF"/>
      </a:accent6>
      <a:hlink>
        <a:srgbClr val="003087"/>
      </a:hlink>
      <a:folHlink>
        <a:srgbClr val="008906"/>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docnumber>Controlleddocument number</docnumber>
  <doctitle>Title of </doctitle>
  <directive>Directive abstract/description</directive>
  <versnumber>Version number</versnumber>
  <releasedate>Month, year</releasedate>
  <docowner>Title of document owner</docowner>
  <reviewdate>Month, year (two years maximum)</reviewdate>
</root>
</file>

<file path=customXml/item3.xml><?xml version="1.0" encoding="utf-8"?>
<p:properties xmlns:p="http://schemas.microsoft.com/office/2006/metadata/properties" xmlns:xsi="http://www.w3.org/2001/XMLSchema-instance" xmlns:pc="http://schemas.microsoft.com/office/infopath/2007/PartnerControls">
  <documentManagement>
    <SharedWithUsers xmlns="6ce15ca8-c929-4470-9022-5fa85cbc8566">
      <UserInfo>
        <DisplayName>Brumby, Caroline</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A63CE86B02E4409C1B0C6735A8B4AA" ma:contentTypeVersion="6" ma:contentTypeDescription="Create a new document." ma:contentTypeScope="" ma:versionID="daa6aeafd503a49dd1299a0d193c72e1">
  <xsd:schema xmlns:xsd="http://www.w3.org/2001/XMLSchema" xmlns:xs="http://www.w3.org/2001/XMLSchema" xmlns:p="http://schemas.microsoft.com/office/2006/metadata/properties" xmlns:ns2="466d6b3f-b99e-48b0-9e9e-4a66ff993684" xmlns:ns3="6ce15ca8-c929-4470-9022-5fa85cbc8566" targetNamespace="http://schemas.microsoft.com/office/2006/metadata/properties" ma:root="true" ma:fieldsID="8daa4aec053b6ebe8f52dab3594957a5" ns2:_="" ns3:_="">
    <xsd:import namespace="466d6b3f-b99e-48b0-9e9e-4a66ff993684"/>
    <xsd:import namespace="6ce15ca8-c929-4470-9022-5fa85cbc856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d6b3f-b99e-48b0-9e9e-4a66ff993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15ca8-c929-4470-9022-5fa85cbc85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F6D6CD1-D7D7-45AB-863F-068B7A0DE974}">
  <ds:schemaRefs>
    <ds:schemaRef ds:uri="http://schemas.microsoft.com/sharepoint/v3/contenttype/forms"/>
  </ds:schemaRefs>
</ds:datastoreItem>
</file>

<file path=customXml/itemProps2.xml><?xml version="1.0" encoding="utf-8"?>
<ds:datastoreItem xmlns:ds="http://schemas.openxmlformats.org/officeDocument/2006/customXml" ds:itemID="{167AA05B-09FD-4358-B7B9-8974F78FFB2A}">
  <ds:schemaRefs/>
</ds:datastoreItem>
</file>

<file path=customXml/itemProps3.xml><?xml version="1.0" encoding="utf-8"?>
<ds:datastoreItem xmlns:ds="http://schemas.openxmlformats.org/officeDocument/2006/customXml" ds:itemID="{D1056728-F52E-40AD-9817-AFD43C17FE59}">
  <ds:schemaRefs>
    <ds:schemaRef ds:uri="http://schemas.microsoft.com/office/2006/metadata/properties"/>
    <ds:schemaRef ds:uri="http://schemas.microsoft.com/office/infopath/2007/PartnerControls"/>
    <ds:schemaRef ds:uri="6ce15ca8-c929-4470-9022-5fa85cbc8566"/>
  </ds:schemaRefs>
</ds:datastoreItem>
</file>

<file path=customXml/itemProps4.xml><?xml version="1.0" encoding="utf-8"?>
<ds:datastoreItem xmlns:ds="http://schemas.openxmlformats.org/officeDocument/2006/customXml" ds:itemID="{3A874BFF-A05C-49A6-9171-F62D8290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d6b3f-b99e-48b0-9e9e-4a66ff993684"/>
    <ds:schemaRef ds:uri="6ce15ca8-c929-4470-9022-5fa85cbc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3B8EE3-D623-3C46-802A-B9175FB1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Origin Letter</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Letter</dc:title>
  <dc:creator>Heath, Hannah</dc:creator>
  <cp:lastModifiedBy>Magee, Paul</cp:lastModifiedBy>
  <cp:revision>3</cp:revision>
  <cp:lastPrinted>2018-09-04T08:31:00Z</cp:lastPrinted>
  <dcterms:created xsi:type="dcterms:W3CDTF">2020-03-30T00:49:00Z</dcterms:created>
  <dcterms:modified xsi:type="dcterms:W3CDTF">2020-03-30T00:56:00Z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c7b3fc-4128-41ae-86b4-e4b1b1ae5e15_Enabled">
    <vt:lpwstr>True</vt:lpwstr>
  </property>
  <property fmtid="{D5CDD505-2E9C-101B-9397-08002B2CF9AE}" pid="3" name="MSIP_Label_97c7b3fc-4128-41ae-86b4-e4b1b1ae5e15_SiteId">
    <vt:lpwstr>97160e56-eb00-44fe-b31d-0d6d351c636d</vt:lpwstr>
  </property>
  <property fmtid="{D5CDD505-2E9C-101B-9397-08002B2CF9AE}" pid="4" name="MSIP_Label_97c7b3fc-4128-41ae-86b4-e4b1b1ae5e15_Owner">
    <vt:lpwstr>Hannah.Heath@origin.com.au</vt:lpwstr>
  </property>
  <property fmtid="{D5CDD505-2E9C-101B-9397-08002B2CF9AE}" pid="5" name="MSIP_Label_97c7b3fc-4128-41ae-86b4-e4b1b1ae5e15_SetDate">
    <vt:lpwstr>2018-08-30T06:32:04.3525961Z</vt:lpwstr>
  </property>
  <property fmtid="{D5CDD505-2E9C-101B-9397-08002B2CF9AE}" pid="6" name="MSIP_Label_97c7b3fc-4128-41ae-86b4-e4b1b1ae5e15_Name">
    <vt:lpwstr>General</vt:lpwstr>
  </property>
  <property fmtid="{D5CDD505-2E9C-101B-9397-08002B2CF9AE}" pid="7" name="MSIP_Label_97c7b3fc-4128-41ae-86b4-e4b1b1ae5e15_Application">
    <vt:lpwstr>Microsoft Azure Information Protection</vt:lpwstr>
  </property>
  <property fmtid="{D5CDD505-2E9C-101B-9397-08002B2CF9AE}" pid="8" name="MSIP_Label_97c7b3fc-4128-41ae-86b4-e4b1b1ae5e15_Extended_MSFT_Method">
    <vt:lpwstr>Automatic</vt:lpwstr>
  </property>
  <property fmtid="{D5CDD505-2E9C-101B-9397-08002B2CF9AE}" pid="9" name="Sensitivity">
    <vt:lpwstr>General</vt:lpwstr>
  </property>
  <property fmtid="{D5CDD505-2E9C-101B-9397-08002B2CF9AE}" pid="10" name="ContentTypeId">
    <vt:lpwstr>0x010100AEA63CE86B02E4409C1B0C6735A8B4AA</vt:lpwstr>
  </property>
</Properties>
</file>