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200" w:line="240"/>
      </w:pPr>
      <w:r>
        <w:rPr>
          <w:rFonts w:ascii="Calibri" w:cs="Calibri" w:eastAsia="Calibri" w:hAnsi="Calibri"/>
          <w:b/>
          <w:bCs/>
          <w:color w:val="D9622B"/>
          <w:spacing w:val="60"/>
          <w:sz w:val="22"/>
          <w:szCs w:val="22"/>
        </w:rPr>
        <w:t xml:space="preserve">ATHOSBI · ESTUDO</w:t>
      </w:r>
    </w:p>
    <w:p>
      <w:pPr>
        <w:spacing w:after="200" w:before="0" w:line="252" w:lineRule="auto"/>
      </w:pPr>
      <w:r>
        <w:rPr>
          <w:rFonts w:ascii="Calibri" w:cs="Calibri" w:eastAsia="Calibri" w:hAnsi="Calibri"/>
          <w:b/>
          <w:bCs/>
          <w:color w:val="14202B"/>
          <w:sz w:val="60"/>
          <w:szCs w:val="60"/>
        </w:rPr>
        <w:t xml:space="preserve">Nota fiscal sem erro na Reforma Tributária</w:t>
      </w:r>
    </w:p>
    <w:p>
      <w:pPr>
        <w:pBdr>
          <w:bottom w:val="single" w:color="D9622B" w:sz="12" w:space="6"/>
        </w:pBdr>
        <w:spacing w:after="300"/>
      </w:pPr>
      <w:r>
        <w:rPr>
          <w:rFonts w:ascii="Calibri" w:cs="Calibri" w:eastAsia="Calibri" w:hAnsi="Calibri"/>
          <w:color w:val="5B6670"/>
          <w:sz w:val="26"/>
          <w:szCs w:val="26"/>
        </w:rPr>
        <w:t xml:space="preserve">Contexto da reforma, IBS e CBS, NCM, CST, cClassTrib, matriz fiscal — e como seria o nosso app: um assistente para emitir certo e um conferidor de XML</w:t>
      </w:r>
    </w:p>
    <w:p>
      <w:pPr>
        <w:spacing w:after="120"/>
      </w:pPr>
      <w:r>
        <w:rPr>
          <w:rFonts w:ascii="Calibri" w:cs="Calibri" w:eastAsia="Calibri" w:hAnsi="Calibri"/>
          <w:color w:val="5B6670"/>
          <w:sz w:val="22"/>
          <w:szCs w:val="22"/>
        </w:rPr>
        <w:t xml:space="preserve">Outubro de 2026</w:t>
      </w:r>
    </w:p>
    <w:p>
      <w:pPr>
        <w:spacing w:after="16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8A5A00" w:sz="24"/>
              <w:bottom w:val="none" w:color="FFFFFF" w:sz="0"/>
              <w:right w:val="none" w:color="FFFFFF" w:sz="0"/>
            </w:tcBorders>
            <w:shd w:fill="FFF4D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21"/>
                <w:szCs w:val="21"/>
              </w:rPr>
              <w:t xml:space="preserve">Importante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</w:rPr>
              <w:t xml:space="preserve">Este é um documento de estudo e planejamento. Ele </w:t>
            </w:r>
            <w:r>
              <w:rPr>
                <w:rFonts w:ascii="Calibri" w:cs="Calibri" w:eastAsia="Calibri" w:hAnsi="Calibri"/>
                <w:b/>
                <w:bCs/>
              </w:rPr>
              <w:t xml:space="preserve">não substitui parecer tributário</w:t>
            </w:r>
            <w:r>
              <w:rPr>
                <w:rFonts w:ascii="Calibri" w:cs="Calibri" w:eastAsia="Calibri" w:hAnsi="Calibri"/>
              </w:rPr>
              <w:t xml:space="preserve">. As regras da reforma ainda estão mudando: datas, versões de notas técnicas e tabelas oficiais são atualizadas com frequência.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Os pontos marcados com </w:t>
            </w:r>
            <w:r>
              <w:rPr>
                <w:rFonts w:ascii="Calibri" w:cs="Calibri" w:eastAsia="Calibri" w:hAnsi="Calibri"/>
                <w:b/>
                <w:bCs/>
              </w:rPr>
              <w:t xml:space="preserve">(conferir)</w:t>
            </w:r>
            <w:r>
              <w:rPr>
                <w:rFonts w:ascii="Calibri" w:cs="Calibri" w:eastAsia="Calibri" w:hAnsi="Calibri"/>
              </w:rPr>
              <w:t xml:space="preserve"> vieram de fontes secundárias (artigos, blogs técnicos) ou mudam com frequência. Confirme no texto oficial antes de virarem regra no sistema. As fontes estão no último capítulo.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Sumário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4202B"/>
        </w:rPr>
        <w:t xml:space="preserve">1. Resumo em uma página</w:t>
      </w:r>
      <w:r>
        <w:rPr>
          <w:rFonts w:ascii="Calibri" w:cs="Calibri" w:eastAsia="Calibri" w:hAnsi="Calibri"/>
          <w:color w:val="5B6670"/>
        </w:rPr>
        <w:t xml:space="preserve">  —  o problema, a proposta e o que decidir agora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4202B"/>
        </w:rPr>
        <w:t xml:space="preserve">2. Reforma Tributária: o contexto completo</w:t>
      </w:r>
      <w:r>
        <w:rPr>
          <w:rFonts w:ascii="Calibri" w:cs="Calibri" w:eastAsia="Calibri" w:hAnsi="Calibri"/>
          <w:color w:val="5B6670"/>
        </w:rPr>
        <w:t xml:space="preserve">  —  leis, cronograma, alíquotas, crédito, split payment, Simples, apuração assistida, multas, mitos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4202B"/>
        </w:rPr>
        <w:t xml:space="preserve">3. Conceitos para emitir certo</w:t>
      </w:r>
      <w:r>
        <w:rPr>
          <w:rFonts w:ascii="Calibri" w:cs="Calibri" w:eastAsia="Calibri" w:hAnsi="Calibri"/>
          <w:color w:val="5B6670"/>
        </w:rPr>
        <w:t xml:space="preserve">  —  NCM, NBS, CFOP, CST, cClassTrib, cCredPres, campos da nota, base e cálculo, matriz fiscal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4202B"/>
        </w:rPr>
        <w:t xml:space="preserve">4. Onde os erros nascem</w:t>
      </w:r>
      <w:r>
        <w:rPr>
          <w:rFonts w:ascii="Calibri" w:cs="Calibri" w:eastAsia="Calibri" w:hAnsi="Calibri"/>
          <w:color w:val="5B6670"/>
        </w:rPr>
        <w:t xml:space="preserve">  —  a cadeia do erro, do cadastro do produto até a apuração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4202B"/>
        </w:rPr>
        <w:t xml:space="preserve">5. Como o app funcionaria</w:t>
      </w:r>
      <w:r>
        <w:rPr>
          <w:rFonts w:ascii="Calibri" w:cs="Calibri" w:eastAsia="Calibri" w:hAnsi="Calibri"/>
          <w:color w:val="5B6670"/>
        </w:rPr>
        <w:t xml:space="preserve">  —  telas, jornadas passo a passo, esboços e ideias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4202B"/>
        </w:rPr>
        <w:t xml:space="preserve">6. Regras de validação</w:t>
      </w:r>
      <w:r>
        <w:rPr>
          <w:rFonts w:ascii="Calibri" w:cs="Calibri" w:eastAsia="Calibri" w:hAnsi="Calibri"/>
          <w:color w:val="5B6670"/>
        </w:rPr>
        <w:t xml:space="preserve">  —  o catálogo completo do que o sistema confere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4202B"/>
        </w:rPr>
        <w:t xml:space="preserve">7. Exemplos resolvidos</w:t>
      </w:r>
      <w:r>
        <w:rPr>
          <w:rFonts w:ascii="Calibri" w:cs="Calibri" w:eastAsia="Calibri" w:hAnsi="Calibri"/>
          <w:color w:val="5B6670"/>
        </w:rPr>
        <w:t xml:space="preserve">  —  cinco casos com números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4202B"/>
        </w:rPr>
        <w:t xml:space="preserve">8. Dados oficiais e integrações</w:t>
      </w:r>
      <w:r>
        <w:rPr>
          <w:rFonts w:ascii="Calibri" w:cs="Calibri" w:eastAsia="Calibri" w:hAnsi="Calibri"/>
          <w:color w:val="5B6670"/>
        </w:rPr>
        <w:t xml:space="preserve">  —  tabelas, Calculadora da Receita, de onde vêm os XMLs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4202B"/>
        </w:rPr>
        <w:t xml:space="preserve">9. Como construir dentro do AthosBI</w:t>
      </w:r>
      <w:r>
        <w:rPr>
          <w:rFonts w:ascii="Calibri" w:cs="Calibri" w:eastAsia="Calibri" w:hAnsi="Calibri"/>
          <w:color w:val="5B6670"/>
        </w:rPr>
        <w:t xml:space="preserve">  —  arquitetura, tabelas, motor de regras, privacidade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4202B"/>
        </w:rPr>
        <w:t xml:space="preserve">10. Versão do escritório x versão do cliente</w:t>
      </w:r>
      <w:r>
        <w:rPr>
          <w:rFonts w:ascii="Calibri" w:cs="Calibri" w:eastAsia="Calibri" w:hAnsi="Calibri"/>
          <w:color w:val="5B6670"/>
        </w:rPr>
        <w:t xml:space="preserve">  —  quem faz o quê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4202B"/>
        </w:rPr>
        <w:t xml:space="preserve">11. O que precisamos</w:t>
      </w:r>
      <w:r>
        <w:rPr>
          <w:rFonts w:ascii="Calibri" w:cs="Calibri" w:eastAsia="Calibri" w:hAnsi="Calibri"/>
          <w:color w:val="5B6670"/>
        </w:rPr>
        <w:t xml:space="preserve">  —  checklist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4202B"/>
        </w:rPr>
        <w:t xml:space="preserve">12. Plano de trabalho</w:t>
      </w:r>
      <w:r>
        <w:rPr>
          <w:rFonts w:ascii="Calibri" w:cs="Calibri" w:eastAsia="Calibri" w:hAnsi="Calibri"/>
          <w:color w:val="5B6670"/>
        </w:rPr>
        <w:t xml:space="preserve">  —  fases com critério de pronto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4202B"/>
        </w:rPr>
        <w:t xml:space="preserve">13. Decisões a tomar</w:t>
      </w:r>
      <w:r>
        <w:rPr>
          <w:rFonts w:ascii="Calibri" w:cs="Calibri" w:eastAsia="Calibri" w:hAnsi="Calibri"/>
          <w:color w:val="5B6670"/>
        </w:rPr>
        <w:t xml:space="preserve">  —  opções e recomendação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4202B"/>
        </w:rPr>
        <w:t xml:space="preserve">14. Riscos e cuidados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4202B"/>
        </w:rPr>
        <w:t xml:space="preserve">15. Glossário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4202B"/>
        </w:rPr>
        <w:t xml:space="preserve">16. Fontes e como manter atualizado</w:t>
      </w:r>
    </w:p>
    <w:p>
      <w:pPr>
        <w:spacing w:after="200"/>
      </w:pPr>
    </w:p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color w:val="D9622B"/>
          <w:spacing w:val="20"/>
          <w:sz w:val="17"/>
          <w:szCs w:val="17"/>
        </w:rPr>
        <w:t xml:space="preserve">COMO LER</w:t>
      </w:r>
    </w:p>
    <w:p>
      <w:pPr>
        <w:spacing w:after="120"/>
      </w:pPr>
      <w:r>
        <w:rPr>
          <w:rFonts w:ascii="Calibri" w:cs="Calibri" w:eastAsia="Calibri" w:hAnsi="Calibri"/>
        </w:rPr>
        <w:t xml:space="preserve">Quem tem pouco tempo: capítulo 1 (resumo), 5 (como o app funcionaria) e 13 (decisões). O capítulo 2 é a base para conversar com o chefe e com os clientes sobre a reforma. Os capítulos 3, 6 e 7 são o “manual técnico”: o que é cada código e o que o sistema vai conferir.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1. Resumo em uma página</w:t>
      </w:r>
    </w:p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color w:val="D9622B"/>
          <w:spacing w:val="20"/>
          <w:sz w:val="17"/>
          <w:szCs w:val="17"/>
        </w:rPr>
        <w:t xml:space="preserve">O PROBLEMA</w:t>
      </w:r>
    </w:p>
    <w:p>
      <w:pPr>
        <w:spacing w:after="120"/>
      </w:pPr>
      <w:r>
        <w:rPr>
          <w:rFonts w:ascii="Calibri" w:cs="Calibri" w:eastAsia="Calibri" w:hAnsi="Calibri"/>
        </w:rPr>
        <w:t xml:space="preserve">A partir de </w:t>
      </w:r>
      <w:r>
        <w:rPr>
          <w:rFonts w:ascii="Calibri" w:cs="Calibri" w:eastAsia="Calibri" w:hAnsi="Calibri"/>
          <w:b/>
          <w:bCs/>
        </w:rPr>
        <w:t xml:space="preserve">2027</w:t>
      </w:r>
      <w:r>
        <w:rPr>
          <w:rFonts w:ascii="Calibri" w:cs="Calibri" w:eastAsia="Calibri" w:hAnsi="Calibri"/>
        </w:rPr>
        <w:t xml:space="preserve"> a CBS passa a ser cobrada de verdade (substitui PIS e Cofins) e a apuração do IBS e da CBS passa a ser </w:t>
      </w:r>
      <w:r>
        <w:rPr>
          <w:rFonts w:ascii="Calibri" w:cs="Calibri" w:eastAsia="Calibri" w:hAnsi="Calibri"/>
          <w:b/>
          <w:bCs/>
        </w:rPr>
        <w:t xml:space="preserve">assistida</w:t>
      </w:r>
      <w:r>
        <w:rPr>
          <w:rFonts w:ascii="Calibri" w:cs="Calibri" w:eastAsia="Calibri" w:hAnsi="Calibri"/>
        </w:rPr>
        <w:t xml:space="preserve">: a Receita Federal e o Comitê Gestor do IBS montam o imposto do mês a partir das notas emitidas e recebidas. O que a empresa não contestar no prazo vira dívida confessada. Na prática, </w:t>
      </w:r>
      <w:r>
        <w:rPr>
          <w:rFonts w:ascii="Calibri" w:cs="Calibri" w:eastAsia="Calibri" w:hAnsi="Calibri"/>
          <w:b/>
          <w:bCs/>
        </w:rPr>
        <w:t xml:space="preserve">a nota fiscal passa a ser a própria apuração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</w:rPr>
        <w:t xml:space="preserve">Por isso, uma nota errada vira imposto errado. O erro afeta quem vende e também o crédito de quem compra. E consertar depois é caro: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cancelar fora do prazo dá multa de </w:t>
      </w:r>
      <w:r>
        <w:rPr>
          <w:rFonts w:ascii="Calibri" w:cs="Calibri" w:eastAsia="Calibri" w:hAnsi="Calibri"/>
          <w:b/>
          <w:bCs/>
        </w:rPr>
        <w:t xml:space="preserve">33%</w:t>
      </w:r>
      <w:r>
        <w:rPr>
          <w:rFonts w:ascii="Calibri" w:cs="Calibri" w:eastAsia="Calibri" w:hAnsi="Calibri"/>
        </w:rPr>
        <w:t xml:space="preserve"> do “tributo de referência”; cancelar depois do fato gerador, </w:t>
      </w:r>
      <w:r>
        <w:rPr>
          <w:rFonts w:ascii="Calibri" w:cs="Calibri" w:eastAsia="Calibri" w:hAnsi="Calibri"/>
          <w:b/>
          <w:bCs/>
        </w:rPr>
        <w:t xml:space="preserve">66%</w:t>
      </w:r>
      <w:r>
        <w:rPr>
          <w:rFonts w:ascii="Calibri" w:cs="Calibri" w:eastAsia="Calibri" w:hAnsi="Calibri"/>
        </w:rPr>
        <w:t xml:space="preserve"> (LC 227/2026) </w:t>
      </w:r>
      <w:r>
        <w:rPr>
          <w:rFonts w:ascii="Calibri" w:cs="Calibri" w:eastAsia="Calibri" w:hAnsi="Calibri"/>
          <w:b/>
          <w:bCs/>
        </w:rPr>
        <w:t xml:space="preserve">(conferir)</w:t>
      </w:r>
      <w:r>
        <w:rPr>
          <w:rFonts w:ascii="Calibri" w:cs="Calibri" w:eastAsia="Calibri" w:hAnsi="Calibri"/>
        </w:rP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 correção vira nota de crédito ou de débito, com retrabalho para o cliente e para o escritório.</w:t>
      </w:r>
    </w:p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color w:val="D9622B"/>
          <w:spacing w:val="20"/>
          <w:sz w:val="17"/>
          <w:szCs w:val="17"/>
        </w:rPr>
        <w:t xml:space="preserve">O OBJETIVO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O cliente não errar ao emitir.</w:t>
      </w:r>
      <w:r>
        <w:rPr>
          <w:rFonts w:ascii="Calibri" w:cs="Calibri" w:eastAsia="Calibri" w:hAnsi="Calibri"/>
        </w:rPr>
        <w:t xml:space="preserve"> Atacamos o erro onde ele nasce: no cadastro do produto (NCM), no cadastro do comprador e na regra fiscal usada pelo sistema emissor (ERP). E conferimos cada nota logo depois de emitida, enquanto ainda dá para cancelar sem multa.</w:t>
      </w:r>
    </w:p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color w:val="D9622B"/>
          <w:spacing w:val="20"/>
          <w:sz w:val="17"/>
          <w:szCs w:val="17"/>
        </w:rPr>
        <w:t xml:space="preserve">A PROPOSTA</w:t>
      </w:r>
    </w:p>
    <w:p>
      <w:pPr>
        <w:spacing w:after="120"/>
      </w:pPr>
      <w:r>
        <w:rPr>
          <w:rFonts w:ascii="Calibri" w:cs="Calibri" w:eastAsia="Calibri" w:hAnsi="Calibri"/>
        </w:rPr>
        <w:t xml:space="preserve">Um módulo novo dentro do AthosBI, com o nome de trabalho </w:t>
      </w:r>
      <w:r>
        <w:rPr>
          <w:rFonts w:ascii="Calibri" w:cs="Calibri" w:eastAsia="Calibri" w:hAnsi="Calibri"/>
          <w:b/>
          <w:bCs/>
        </w:rPr>
        <w:t xml:space="preserve">Nota Certa</w:t>
      </w:r>
      <w:r>
        <w:rPr>
          <w:rFonts w:ascii="Calibri" w:cs="Calibri" w:eastAsia="Calibri" w:hAnsi="Calibri"/>
        </w:rPr>
        <w:t xml:space="preserve">. Cada cliente tem uma base única com: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cadastro fiscal da empresa;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catálogo de produtos e serviços com NCM/NBS conferido;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perfil dos compradores;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matriz fiscal</w:t>
      </w:r>
      <w:r>
        <w:rPr>
          <w:rFonts w:ascii="Calibri" w:cs="Calibri" w:eastAsia="Calibri" w:hAnsi="Calibri"/>
        </w:rPr>
        <w:t xml:space="preserve"> aprovada pelo escritório;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tabelas oficiais versionadas.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Sobre essa base funcionam duas ferramentas: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3638"/>
        <w:gridCol w:w="2300"/>
      </w:tblGrid>
      <w:tr>
        <w:trPr>
          <w:cantSplit/>
          <w:tblHeader/>
        </w:trPr>
        <w:tc>
          <w:tcPr>
            <w:tcW w:type="dxa" w:w="2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Ferramenta</w:t>
            </w:r>
          </w:p>
        </w:tc>
        <w:tc>
          <w:tcPr>
            <w:tcW w:type="dxa" w:w="17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Quando</w:t>
            </w:r>
          </w:p>
        </w:tc>
        <w:tc>
          <w:tcPr>
            <w:tcW w:type="dxa" w:w="36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 que faz</w:t>
            </w:r>
          </w:p>
        </w:tc>
        <w:tc>
          <w:tcPr>
            <w:tcW w:type="dxa" w:w="2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A. Assistente de emissão</w:t>
            </w:r>
          </w:p>
        </w:tc>
        <w:tc>
          <w:tcPr>
            <w:tcW w:type="dxa" w:w="17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Antes de emitir</w:t>
            </w:r>
          </w:p>
        </w:tc>
        <w:tc>
          <w:tcPr>
            <w:tcW w:type="dxa" w:w="36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O usuário informa a operação, o comprador e os itens. O app diz como a nota deve sair: CFOP, CST, cClassTrib, base, alíquotas e valores. Também avisa dos riscos.</w:t>
            </w:r>
          </w:p>
        </w:tc>
        <w:tc>
          <w:tcPr>
            <w:tcW w:type="dxa" w:w="2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Espelho da nota para o faturamento e tabela de parametrização para o ERP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B. Conferidor de XML</w:t>
            </w:r>
          </w:p>
        </w:tc>
        <w:tc>
          <w:tcPr>
            <w:tcW w:type="dxa" w:w="17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Logo depois de emitir (e no fechamento do mês)</w:t>
            </w:r>
          </w:p>
        </w:tc>
        <w:tc>
          <w:tcPr>
            <w:tcW w:type="dxa" w:w="36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Lê os XMLs autorizados e compara com a matriz e com as regras oficiais. Também recalcula os valores.</w:t>
            </w:r>
          </w:p>
        </w:tc>
        <w:tc>
          <w:tcPr>
            <w:tcW w:type="dxa" w:w="2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Sinal verde, amarelo ou vermelho por nota, o que corrigir, o prazo para cancelar e a ação recomendada</w:t>
            </w:r>
          </w:p>
        </w:tc>
      </w:tr>
    </w:tbl>
    <w:p>
      <w:pPr>
        <w:spacing w:after="160"/>
      </w:pPr>
    </w:p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color w:val="D9622B"/>
          <w:spacing w:val="20"/>
          <w:sz w:val="17"/>
          <w:szCs w:val="17"/>
        </w:rPr>
        <w:t xml:space="preserve">QUEM USA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Escritório:</w:t>
      </w:r>
      <w:r>
        <w:rPr>
          <w:rFonts w:ascii="Calibri" w:cs="Calibri" w:eastAsia="Calibri" w:hAnsi="Calibri"/>
        </w:rPr>
        <w:t xml:space="preserve"> vê todos os clientes, monta e aprova a matriz, confere em lote e acompanha a carteira.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Cliente:</w:t>
      </w:r>
      <w:r>
        <w:rPr>
          <w:rFonts w:ascii="Calibri" w:cs="Calibri" w:eastAsia="Calibri" w:hAnsi="Calibri"/>
        </w:rPr>
        <w:t xml:space="preserve"> vê só a sua empresa. Cadastra produtos (que o escritório aprova), usa o assistente antes de emitir e confere os próprios XMLs. O acesso é por e-mail, como já funciona hoje no módulo Reforma.</w:t>
      </w:r>
    </w:p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color w:val="D9622B"/>
          <w:spacing w:val="20"/>
          <w:sz w:val="17"/>
          <w:szCs w:val="17"/>
        </w:rPr>
        <w:t xml:space="preserve">O QUE JÁ TEMOS PRONTO NO ATHOSBI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Módulo Reforma com cadastro de empresas, liberação de acesso por e-mail e simulador de impacto.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Base dos anexos da LC 214: </w:t>
      </w:r>
      <w:r>
        <w:rPr>
          <w:rFonts w:ascii="Calibri" w:cs="Calibri" w:eastAsia="Calibri" w:hAnsi="Calibri"/>
          <w:b/>
          <w:bCs/>
        </w:rPr>
        <w:t xml:space="preserve">863 regras por NCM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99 por NBS</w:t>
      </w:r>
      <w:r>
        <w:rPr>
          <w:rFonts w:ascii="Calibri" w:cs="Calibri" w:eastAsia="Calibri" w:hAnsi="Calibri"/>
        </w:rPr>
        <w:t xml:space="preserve"> e </w:t>
      </w:r>
      <w:r>
        <w:rPr>
          <w:rFonts w:ascii="Calibri" w:cs="Calibri" w:eastAsia="Calibri" w:hAnsi="Calibri"/>
          <w:b/>
          <w:bCs/>
        </w:rPr>
        <w:t xml:space="preserve">18 tratamentos (cClassTrib)</w:t>
      </w:r>
      <w:r>
        <w:rPr>
          <w:rFonts w:ascii="Calibri" w:cs="Calibri" w:eastAsia="Calibri" w:hAnsi="Calibri"/>
        </w:rPr>
        <w:t xml:space="preserve"> com redução ou alíquota zero. Vem da Calculadora oficial da Receita (dados 2026.09). Já sugere o enquadramento de cada NCM/NBS.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Leitura do resumo fiscal das notas da Domínio (vendas e compras por NCM), sempre só leitura.</w:t>
      </w:r>
    </w:p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color w:val="D9622B"/>
          <w:spacing w:val="20"/>
          <w:sz w:val="17"/>
          <w:szCs w:val="17"/>
        </w:rPr>
        <w:t xml:space="preserve">O QUE DECIDIR AGORA (DETALHES NO CAPÍTULO 13)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b/>
          <w:bCs/>
        </w:rPr>
        <w:t xml:space="preserve">Clientes piloto:</w:t>
      </w:r>
      <w:r>
        <w:rPr>
          <w:rFonts w:ascii="Calibri" w:cs="Calibri" w:eastAsia="Calibri" w:hAnsi="Calibri"/>
        </w:rPr>
        <w:t xml:space="preserve"> 3 a 5, com perfis diferentes (comércio com Cesta Básica, distribuidor de produtos de saúde, prestador de serviço, alguém do Simples).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b/>
          <w:bCs/>
        </w:rPr>
        <w:t xml:space="preserve">Escopo inicial:</w:t>
      </w:r>
      <w:r>
        <w:rPr>
          <w:rFonts w:ascii="Calibri" w:cs="Calibri" w:eastAsia="Calibri" w:hAnsi="Calibri"/>
        </w:rPr>
        <w:t xml:space="preserve"> NF-e modelo 55 primeiro, depois NFS-e nacional e NFC-e.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b/>
          <w:bCs/>
        </w:rPr>
        <w:t xml:space="preserve">XMLs para teste:</w:t>
      </w:r>
      <w:r>
        <w:rPr>
          <w:rFonts w:ascii="Calibri" w:cs="Calibri" w:eastAsia="Calibri" w:hAnsi="Calibri"/>
        </w:rPr>
        <w:t xml:space="preserve"> 20 a 50 notas reais de cada piloto, por upload. Elas ficam fora do código, e o que entrar nos testes automáticos é anonimizado.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2. Reforma Tributária: o contexto completo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B6670"/>
        </w:rPr>
        <w:t xml:space="preserve">Este capítulo é a base para conversar com o chefe e com os clientes. Ele explica o que muda, quando muda e por que a nota fiscal ficou tão importante.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2.1 Por que existe a reforma</w:t>
      </w:r>
    </w:p>
    <w:p>
      <w:pPr>
        <w:spacing w:after="120"/>
      </w:pPr>
      <w:r>
        <w:rPr>
          <w:rFonts w:ascii="Calibri" w:cs="Calibri" w:eastAsia="Calibri" w:hAnsi="Calibri"/>
        </w:rPr>
        <w:t xml:space="preserve">O sistema atual de tributos sobre o consumo tem cinco tributos com regras diferentes: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PIS e Cofins (federais, com regimes cumulativo e não cumulativo);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IPI (federal);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ICMS (27 legislações estaduais);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ISS (mais de 5.500 legislações municipais).</w:t>
      </w:r>
    </w:p>
    <w:p>
      <w:pPr>
        <w:spacing w:after="120"/>
      </w:pPr>
      <w:r>
        <w:rPr>
          <w:rFonts w:ascii="Calibri" w:cs="Calibri" w:eastAsia="Calibri" w:hAnsi="Calibri"/>
        </w:rPr>
        <w:t xml:space="preserve">Os problemas mais citados: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Cumulatividade:</w:t>
      </w:r>
      <w:r>
        <w:rPr>
          <w:rFonts w:ascii="Calibri" w:cs="Calibri" w:eastAsia="Calibri" w:hAnsi="Calibri"/>
        </w:rPr>
        <w:t xml:space="preserve"> imposto sobre imposto e crédito restrito.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Guerra fiscal</w:t>
      </w:r>
      <w:r>
        <w:rPr>
          <w:rFonts w:ascii="Calibri" w:cs="Calibri" w:eastAsia="Calibri" w:hAnsi="Calibri"/>
        </w:rPr>
        <w:t xml:space="preserve"> entre estados.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Disputa</w:t>
      </w:r>
      <w:r>
        <w:rPr>
          <w:rFonts w:ascii="Calibri" w:cs="Calibri" w:eastAsia="Calibri" w:hAnsi="Calibri"/>
        </w:rPr>
        <w:t xml:space="preserve"> sobre o que é mercadoria e o que é serviço.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Custo enorme</w:t>
      </w:r>
      <w:r>
        <w:rPr>
          <w:rFonts w:ascii="Calibri" w:cs="Calibri" w:eastAsia="Calibri" w:hAnsi="Calibri"/>
        </w:rPr>
        <w:t xml:space="preserve"> para cumprir as obrigações acessórias.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Muito contencioso</w:t>
      </w:r>
      <w:r>
        <w:rPr>
          <w:rFonts w:ascii="Calibri" w:cs="Calibri" w:eastAsia="Calibri" w:hAnsi="Calibri"/>
        </w:rPr>
        <w:t xml:space="preserve"> na Justiça.</w:t>
      </w:r>
    </w:p>
    <w:p>
      <w:pPr>
        <w:spacing w:after="120"/>
      </w:pPr>
      <w:r>
        <w:rPr>
          <w:rFonts w:ascii="Calibri" w:cs="Calibri" w:eastAsia="Calibri" w:hAnsi="Calibri"/>
        </w:rPr>
        <w:t xml:space="preserve">A reforma troca esse conjunto por um </w:t>
      </w:r>
      <w:r>
        <w:rPr>
          <w:rFonts w:ascii="Calibri" w:cs="Calibri" w:eastAsia="Calibri" w:hAnsi="Calibri"/>
          <w:b/>
          <w:bCs/>
        </w:rPr>
        <w:t xml:space="preserve">IVA dual</w:t>
      </w:r>
      <w:r>
        <w:rPr>
          <w:rFonts w:ascii="Calibri" w:cs="Calibri" w:eastAsia="Calibri" w:hAnsi="Calibri"/>
        </w:rPr>
        <w:t xml:space="preserve">: dois tributos com a mesma base e as mesmas regras, um federal e um subnacional, além de um imposto seletivo.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2.2 O que sai e o que entra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2400"/>
        <w:gridCol w:w="2938"/>
      </w:tblGrid>
      <w:tr>
        <w:trPr>
          <w:cantSplit/>
          <w:tblHeader/>
        </w:trPr>
        <w:tc>
          <w:tcPr>
            <w:tcW w:type="dxa" w:w="1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Hoje</w:t>
            </w:r>
          </w:p>
        </w:tc>
        <w:tc>
          <w:tcPr>
            <w:tcW w:type="dxa" w:w="2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Passa a ser</w:t>
            </w:r>
          </w:p>
        </w:tc>
        <w:tc>
          <w:tcPr>
            <w:tcW w:type="dxa" w:w="2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 quem é</w:t>
            </w:r>
          </w:p>
        </w:tc>
        <w:tc>
          <w:tcPr>
            <w:tcW w:type="dxa" w:w="29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Observação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PIS e Cofins</w:t>
            </w:r>
          </w:p>
        </w:tc>
        <w:tc>
          <w:tcPr>
            <w:tcW w:type="dxa" w:w="2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CBS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 — Contribuição sobre Bens e Serviços</w:t>
            </w:r>
          </w:p>
        </w:tc>
        <w:tc>
          <w:tcPr>
            <w:tcW w:type="dxa" w:w="2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União</w:t>
            </w:r>
          </w:p>
        </w:tc>
        <w:tc>
          <w:tcPr>
            <w:tcW w:type="dxa" w:w="29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Começa em 2027 com alíquota cheia (2026 é ano de teste)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ICMS e ISS</w:t>
            </w:r>
          </w:p>
        </w:tc>
        <w:tc>
          <w:tcPr>
            <w:tcW w:type="dxa" w:w="2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IBS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 — Imposto sobre Bens e Serviços</w:t>
            </w:r>
          </w:p>
        </w:tc>
        <w:tc>
          <w:tcPr>
            <w:tcW w:type="dxa" w:w="2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Estados, DF e municípios (Comitê Gestor do IBS)</w:t>
            </w:r>
          </w:p>
        </w:tc>
        <w:tc>
          <w:tcPr>
            <w:tcW w:type="dxa" w:w="29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Entra aos poucos de 2029 a 2032; ICMS e ISS acabam em 2033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IPI</w:t>
            </w:r>
          </w:p>
        </w:tc>
        <w:tc>
          <w:tcPr>
            <w:tcW w:type="dxa" w:w="2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IS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 — Imposto Seletivo (e IPI zerado)</w:t>
            </w:r>
          </w:p>
        </w:tc>
        <w:tc>
          <w:tcPr>
            <w:tcW w:type="dxa" w:w="2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União</w:t>
            </w:r>
          </w:p>
        </w:tc>
        <w:tc>
          <w:tcPr>
            <w:tcW w:type="dxa" w:w="29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IS sobre produtos prejudiciais à saúde e ao meio ambiente a partir de 2027; IPI fica só para proteger a Zona Franca de Manaus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2.3 Os princípios que mudam o dia a 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Não cumulatividade plena:</w:t>
      </w:r>
      <w:r>
        <w:rPr>
          <w:rFonts w:ascii="Calibri" w:cs="Calibri" w:eastAsia="Calibri" w:hAnsi="Calibri"/>
        </w:rPr>
        <w:t xml:space="preserve"> quase tudo o que a empresa compra para a atividade gera crédito (bens, serviços, energia, aluguel, intangíveis). A exceção principal é o uso e consumo pessoal.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Cobrança no destino:</w:t>
      </w:r>
      <w:r>
        <w:rPr>
          <w:rFonts w:ascii="Calibri" w:cs="Calibri" w:eastAsia="Calibri" w:hAnsi="Calibri"/>
        </w:rPr>
        <w:t xml:space="preserve"> o IBS fica com o estado e o município de </w:t>
      </w:r>
      <w:r>
        <w:rPr>
          <w:rFonts w:ascii="Calibri" w:cs="Calibri" w:eastAsia="Calibri" w:hAnsi="Calibri"/>
          <w:b/>
          <w:bCs/>
        </w:rPr>
        <w:t xml:space="preserve">quem compra</w:t>
      </w:r>
      <w:r>
        <w:rPr>
          <w:rFonts w:ascii="Calibri" w:cs="Calibri" w:eastAsia="Calibri" w:hAnsi="Calibri"/>
        </w:rPr>
        <w:t xml:space="preserve">, não de quem vende. Isso acaba com a guerra fiscal.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Imposto “por fora”:</w:t>
      </w:r>
      <w:r>
        <w:rPr>
          <w:rFonts w:ascii="Calibri" w:cs="Calibri" w:eastAsia="Calibri" w:hAnsi="Calibri"/>
        </w:rPr>
        <w:t xml:space="preserve"> o IBS e a CBS não entram na própria base e aparecem </w:t>
      </w:r>
      <w:r>
        <w:rPr>
          <w:rFonts w:ascii="Calibri" w:cs="Calibri" w:eastAsia="Calibri" w:hAnsi="Calibri"/>
          <w:b/>
          <w:bCs/>
        </w:rPr>
        <w:t xml:space="preserve">destacados na nota</w:t>
      </w:r>
      <w:r>
        <w:rPr>
          <w:rFonts w:ascii="Calibri" w:cs="Calibri" w:eastAsia="Calibri" w:hAnsi="Calibri"/>
        </w:rPr>
        <w:t xml:space="preserve">. O preço passa a ser “valor + tributo”.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Legislação única:</w:t>
      </w:r>
      <w:r>
        <w:rPr>
          <w:rFonts w:ascii="Calibri" w:cs="Calibri" w:eastAsia="Calibri" w:hAnsi="Calibri"/>
        </w:rPr>
        <w:t xml:space="preserve"> a mesma lei e o mesmo regulamento para o país todo. Cada ente só define a sua alíquota.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Neutralidade:</w:t>
      </w:r>
      <w:r>
        <w:rPr>
          <w:rFonts w:ascii="Calibri" w:cs="Calibri" w:eastAsia="Calibri" w:hAnsi="Calibri"/>
        </w:rPr>
        <w:t xml:space="preserve"> o imposto não deve influenciar as decisões de negócio.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Justiça tributária:</w:t>
      </w:r>
      <w:r>
        <w:rPr>
          <w:rFonts w:ascii="Calibri" w:cs="Calibri" w:eastAsia="Calibri" w:hAnsi="Calibri"/>
        </w:rPr>
        <w:t xml:space="preserve"> cesta básica com alíquota zero e devolução de imposto (cashback) para famílias de baixa renda.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2.4 As normas que importam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138"/>
        <w:gridCol w:w="4000"/>
      </w:tblGrid>
      <w:tr>
        <w:trPr>
          <w:cantSplit/>
          <w:tblHeader/>
        </w:trPr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Norma</w:t>
            </w:r>
          </w:p>
        </w:tc>
        <w:tc>
          <w:tcPr>
            <w:tcW w:type="dxa" w:w="31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 que é</w:t>
            </w:r>
          </w:p>
        </w:tc>
        <w:tc>
          <w:tcPr>
            <w:tcW w:type="dxa" w:w="4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Por que importa para o nosso app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Emenda Constitucional 132/2023</w:t>
            </w:r>
          </w:p>
        </w:tc>
        <w:tc>
          <w:tcPr>
            <w:tcW w:type="dxa" w:w="31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 emenda da reforma (dez/2023)</w:t>
            </w:r>
          </w:p>
        </w:tc>
        <w:tc>
          <w:tcPr>
            <w:tcW w:type="dxa" w:w="4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Cria IBS, CBS e IS e a transição até 2033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Lei Complementar 214/2025</w:t>
            </w:r>
          </w:p>
        </w:tc>
        <w:tc>
          <w:tcPr>
            <w:tcW w:type="dxa" w:w="31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Lei que institui IBS, CBS e IS (jan/2025)</w:t>
            </w:r>
          </w:p>
        </w:tc>
        <w:tc>
          <w:tcPr>
            <w:tcW w:type="dxa" w:w="4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Base, alíquotas, anexos I a XV com reduções e alíquota zero, créditos, apuração, documentos fiscais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Lei Complementar 227/2026</w:t>
            </w:r>
          </w:p>
        </w:tc>
        <w:tc>
          <w:tcPr>
            <w:tcW w:type="dxa" w:w="31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Lei do Comitê Gestor do IBS, que também alterou a LC 214 (origem: PLP 108/2024)</w:t>
            </w:r>
          </w:p>
        </w:tc>
        <w:tc>
          <w:tcPr>
            <w:tcW w:type="dxa" w:w="4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Multas de cancelamento (art. 341-G), regras de devolução e cancelamento, benefícios que não se somam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(conferir)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NT 2025.002 (NF-e e NFC-e)</w:t>
            </w:r>
          </w:p>
        </w:tc>
        <w:tc>
          <w:tcPr>
            <w:tcW w:type="dxa" w:w="31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Nota Técnica do leiaute da nota com IBS/CBS</w:t>
            </w:r>
          </w:p>
        </w:tc>
        <w:tc>
          <w:tcPr>
            <w:tcW w:type="dxa" w:w="4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Campos (grupo UB), validações e rejeições. Tem várias versões; usar sempre a vigente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Informe Técnico 2025.002</w:t>
            </w:r>
          </w:p>
        </w:tc>
        <w:tc>
          <w:tcPr>
            <w:tcW w:type="dxa" w:w="31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Tabelas oficiais CST/cClassTrib e cCredPres</w:t>
            </w:r>
          </w:p>
        </w:tc>
        <w:tc>
          <w:tcPr>
            <w:tcW w:type="dxa" w:w="4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É o “dicionário” que o validador usa. Também tem várias versões e datas de vigência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Leiaute da NFS-e nacional (anexos VII e VIII)</w:t>
            </w:r>
          </w:p>
        </w:tc>
        <w:tc>
          <w:tcPr>
            <w:tcW w:type="dxa" w:w="31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Documento nacional de serviço com IBS/CBS</w:t>
            </w:r>
          </w:p>
        </w:tc>
        <w:tc>
          <w:tcPr>
            <w:tcW w:type="dxa" w:w="4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Indicador da operação (cIndOp) e a correlação serviço × NBS × cClassTrib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Atos Conjuntos RFB/CGIBS</w:t>
            </w:r>
          </w:p>
        </w:tc>
        <w:tc>
          <w:tcPr>
            <w:tcW w:type="dxa" w:w="31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Normas operacionais do período de teste</w:t>
            </w:r>
          </w:p>
        </w:tc>
        <w:tc>
          <w:tcPr>
            <w:tcW w:type="dxa" w:w="4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Datas de obrigatoriedade, apuração assistida, cronograma de rejeições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Ajustes SINIEF e Resoluções CGSN</w:t>
            </w:r>
          </w:p>
        </w:tc>
        <w:tc>
          <w:tcPr>
            <w:tcW w:type="dxa" w:w="31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Convênios das SEFAZ e normas do Simples</w:t>
            </w:r>
          </w:p>
        </w:tc>
        <w:tc>
          <w:tcPr>
            <w:tcW w:type="dxa" w:w="4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Notas de crédito e débito; opção do Simples pelo regime regular do IBS/CBS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2.5 Cronograma de transição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500"/>
        <w:gridCol w:w="2100"/>
        <w:gridCol w:w="3638"/>
      </w:tblGrid>
      <w:tr>
        <w:trPr>
          <w:cantSplit/>
          <w:tblHeader/>
        </w:trPr>
        <w:tc>
          <w:tcPr>
            <w:tcW w:type="dxa" w:w="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Ano</w:t>
            </w:r>
          </w:p>
        </w:tc>
        <w:tc>
          <w:tcPr>
            <w:tcW w:type="dxa" w:w="1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CBS</w:t>
            </w:r>
          </w:p>
        </w:tc>
        <w:tc>
          <w:tcPr>
            <w:tcW w:type="dxa" w:w="1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IBS</w:t>
            </w:r>
          </w:p>
        </w:tc>
        <w:tc>
          <w:tcPr>
            <w:tcW w:type="dxa" w:w="2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Tributos antigos</w:t>
            </w:r>
          </w:p>
        </w:tc>
        <w:tc>
          <w:tcPr>
            <w:tcW w:type="dxa" w:w="36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 que muda na prática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2026</w:t>
            </w:r>
          </w:p>
        </w:tc>
        <w:tc>
          <w:tcPr>
            <w:tcW w:type="dxa" w:w="1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0,9% (teste)</w:t>
            </w:r>
          </w:p>
        </w:tc>
        <w:tc>
          <w:tcPr>
            <w:tcW w:type="dxa" w:w="1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0,1% (teste)</w:t>
            </w:r>
          </w:p>
        </w:tc>
        <w:tc>
          <w:tcPr>
            <w:tcW w:type="dxa" w:w="2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PIS, Cofins, ICMS, ISS e IPI normais</w:t>
            </w:r>
          </w:p>
        </w:tc>
        <w:tc>
          <w:tcPr>
            <w:tcW w:type="dxa" w:w="36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Ano de aprendizado.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Destaque do IBS/CBS obrigatório na NF-e do regime regular desde 03/08/2026 e na NFS-e desde 01/10/2026.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 rejeição por falta do grupo (rejeição 1115) está suspensa, sem data nova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(conferir)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O valor é compensável com PIS/Cofins, e quem cumpre as obrigações acessórias fica dispensado de recolher (art. 348)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(conferir)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Apuração assistida só informativa.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2027</w:t>
            </w:r>
          </w:p>
        </w:tc>
        <w:tc>
          <w:tcPr>
            <w:tcW w:type="dxa" w:w="1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Alíquota cheia, ainda a definir (menos 0,1 ponto)</w:t>
            </w:r>
          </w:p>
        </w:tc>
        <w:tc>
          <w:tcPr>
            <w:tcW w:type="dxa" w:w="1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0,1% (0,05% estadual + 0,05% municipal)</w:t>
            </w:r>
          </w:p>
        </w:tc>
        <w:tc>
          <w:tcPr>
            <w:tcW w:type="dxa" w:w="2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PIS e Cofins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extintos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; IPI zerado (exceto ZFM); começa o Imposto Seletivo</w:t>
            </w:r>
          </w:p>
        </w:tc>
        <w:tc>
          <w:tcPr>
            <w:tcW w:type="dxa" w:w="36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CBS de verdade.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Simples e MEI também preenchem os campos.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 apuração assistida passa a valer como confissão de dívida.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Erro na nota passa a custar dinheiro.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2028</w:t>
            </w:r>
          </w:p>
        </w:tc>
        <w:tc>
          <w:tcPr>
            <w:tcW w:type="dxa" w:w="1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Cheia</w:t>
            </w:r>
          </w:p>
        </w:tc>
        <w:tc>
          <w:tcPr>
            <w:tcW w:type="dxa" w:w="1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0,1%</w:t>
            </w:r>
          </w:p>
        </w:tc>
        <w:tc>
          <w:tcPr>
            <w:tcW w:type="dxa" w:w="2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ICMS e ISS normais</w:t>
            </w:r>
          </w:p>
        </w:tc>
        <w:tc>
          <w:tcPr>
            <w:tcW w:type="dxa" w:w="36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Split payment previsto para virar obrigatório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(conferir)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2029 a 2032</w:t>
            </w:r>
          </w:p>
        </w:tc>
        <w:tc>
          <w:tcPr>
            <w:tcW w:type="dxa" w:w="1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Cheia</w:t>
            </w:r>
          </w:p>
        </w:tc>
        <w:tc>
          <w:tcPr>
            <w:tcW w:type="dxa" w:w="1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Sobe aos poucos</w:t>
            </w:r>
          </w:p>
        </w:tc>
        <w:tc>
          <w:tcPr>
            <w:tcW w:type="dxa" w:w="2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ICMS e ISS caem para 90%, 80%, 70% e 60% das alíquotas</w:t>
            </w:r>
          </w:p>
        </w:tc>
        <w:tc>
          <w:tcPr>
            <w:tcW w:type="dxa" w:w="36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Os dois sistemas convivem: a nota tem ICMS/ISS e IBS/CBS.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Cada estado e município passa a ter a sua alíquota de IBS.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2033</w:t>
            </w:r>
          </w:p>
        </w:tc>
        <w:tc>
          <w:tcPr>
            <w:tcW w:type="dxa" w:w="1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Cheia</w:t>
            </w:r>
          </w:p>
        </w:tc>
        <w:tc>
          <w:tcPr>
            <w:tcW w:type="dxa" w:w="1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Cheia</w:t>
            </w:r>
          </w:p>
        </w:tc>
        <w:tc>
          <w:tcPr>
            <w:tcW w:type="dxa" w:w="2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ICMS e ISS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extintos</w:t>
            </w:r>
          </w:p>
        </w:tc>
        <w:tc>
          <w:tcPr>
            <w:tcW w:type="dxa" w:w="36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Sistema novo completo.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4E8C" w:sz="24"/>
              <w:bottom w:val="none" w:color="FFFFFF" w:sz="0"/>
              <w:right w:val="none" w:color="FFFFFF" w:sz="0"/>
            </w:tcBorders>
            <w:shd w:fill="EAF1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1"/>
                <w:szCs w:val="21"/>
              </w:rPr>
              <w:t xml:space="preserve">Alíquota de referência: ainda não definida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</w:rPr>
              <w:t xml:space="preserve">A alíquota “cheia” (de referência) da CBS e do IBS será fixada pelo Senado. A expectativa é até </w:t>
            </w:r>
            <w:r>
              <w:rPr>
                <w:rFonts w:ascii="Calibri" w:cs="Calibri" w:eastAsia="Calibri" w:hAnsi="Calibri"/>
                <w:b/>
                <w:bCs/>
              </w:rPr>
              <w:t xml:space="preserve">15/12/2026</w:t>
            </w:r>
            <w:r>
              <w:rPr>
                <w:rFonts w:ascii="Calibri" w:cs="Calibri" w:eastAsia="Calibri" w:hAnsi="Calibri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</w:rPr>
              <w:t xml:space="preserve">(conferir)</w:t>
            </w:r>
            <w:r>
              <w:rPr>
                <w:rFonts w:ascii="Calibri" w:cs="Calibri" w:eastAsia="Calibri" w:hAnsi="Calibri"/>
              </w:rPr>
              <w:t xml:space="preserve">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</w:rPr>
              <w:t xml:space="preserve">As estimativas giram em torno de </w:t>
            </w:r>
            <w:r>
              <w:rPr>
                <w:rFonts w:ascii="Calibri" w:cs="Calibri" w:eastAsia="Calibri" w:hAnsi="Calibri"/>
                <w:b/>
                <w:bCs/>
              </w:rPr>
              <w:t xml:space="preserve">26,5% a 28% somando CBS e IBS</w:t>
            </w:r>
            <w:r>
              <w:rPr>
                <w:rFonts w:ascii="Calibri" w:cs="Calibri" w:eastAsia="Calibri" w:hAnsi="Calibri"/>
              </w:rPr>
              <w:t xml:space="preserve">. Para a CBS sozinha, fala-se em perto de 9%.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</w:rPr>
              <w:t xml:space="preserve">Existe uma trava: se a carga passar do teto previsto, o governo precisa propor a redução de benefícios.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No app, </w:t>
            </w:r>
            <w:r>
              <w:rPr>
                <w:rFonts w:ascii="Calibri" w:cs="Calibri" w:eastAsia="Calibri" w:hAnsi="Calibri"/>
                <w:b/>
                <w:bCs/>
              </w:rPr>
              <w:t xml:space="preserve">toda alíquota é um parâmetro por ano</w:t>
            </w:r>
            <w:r>
              <w:rPr>
                <w:rFonts w:ascii="Calibri" w:cs="Calibri" w:eastAsia="Calibri" w:hAnsi="Calibri"/>
              </w:rPr>
              <w:t xml:space="preserve">, editável pelo escritório. Isso já é assim no simulador da Reforma.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2.6 Alíquotas: cheia, reduzida e zero</w:t>
      </w:r>
    </w:p>
    <w:p>
      <w:pPr>
        <w:spacing w:after="120"/>
      </w:pPr>
      <w:r>
        <w:rPr>
          <w:rFonts w:ascii="Calibri" w:cs="Calibri" w:eastAsia="Calibri" w:hAnsi="Calibri"/>
        </w:rPr>
        <w:t xml:space="preserve">A regra geral é a alíquota cheia. A LC 214 traz reduções para setores e produtos específicos, quase sempre definidos por </w:t>
      </w:r>
      <w:r>
        <w:rPr>
          <w:rFonts w:ascii="Calibri" w:cs="Calibri" w:eastAsia="Calibri" w:hAnsi="Calibri"/>
          <w:b/>
          <w:bCs/>
        </w:rPr>
        <w:t xml:space="preserve">NCM</w:t>
      </w:r>
      <w:r>
        <w:rPr>
          <w:rFonts w:ascii="Calibri" w:cs="Calibri" w:eastAsia="Calibri" w:hAnsi="Calibri"/>
        </w:rPr>
        <w:t xml:space="preserve"> (produtos) ou </w:t>
      </w:r>
      <w:r>
        <w:rPr>
          <w:rFonts w:ascii="Calibri" w:cs="Calibri" w:eastAsia="Calibri" w:hAnsi="Calibri"/>
          <w:b/>
          <w:bCs/>
        </w:rPr>
        <w:t xml:space="preserve">NBS</w:t>
      </w:r>
      <w:r>
        <w:rPr>
          <w:rFonts w:ascii="Calibri" w:cs="Calibri" w:eastAsia="Calibri" w:hAnsi="Calibri"/>
        </w:rPr>
        <w:t xml:space="preserve"> (serviços) nos anexos. É por isso que o NCM correto ficou tão importante: </w:t>
      </w:r>
      <w:r>
        <w:rPr>
          <w:rFonts w:ascii="Calibri" w:cs="Calibri" w:eastAsia="Calibri" w:hAnsi="Calibri"/>
          <w:b/>
          <w:bCs/>
        </w:rPr>
        <w:t xml:space="preserve">o NCM decide se o produto paga 100%, 40% ou zero</w:t>
      </w:r>
      <w:r>
        <w:rPr>
          <w:rFonts w:ascii="Calibri" w:cs="Calibri" w:eastAsia="Calibri" w:hAnsi="Calibri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000"/>
        <w:gridCol w:w="4638"/>
        <w:gridCol w:w="2300"/>
      </w:tblGrid>
      <w:tr>
        <w:trPr>
          <w:cantSplit/>
          <w:tblHeader/>
        </w:trPr>
        <w:tc>
          <w:tcPr>
            <w:tcW w:type="dxa" w:w="17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Tratamento</w:t>
            </w:r>
          </w:p>
        </w:tc>
        <w:tc>
          <w:tcPr>
            <w:tcW w:type="dxa" w:w="1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Redução</w:t>
            </w:r>
          </w:p>
        </w:tc>
        <w:tc>
          <w:tcPr>
            <w:tcW w:type="dxa" w:w="46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Exemplos</w:t>
            </w:r>
          </w:p>
        </w:tc>
        <w:tc>
          <w:tcPr>
            <w:tcW w:type="dxa" w:w="2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Onde está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Alíquota zero</w:t>
            </w:r>
          </w:p>
        </w:tc>
        <w:tc>
          <w:tcPr>
            <w:tcW w:type="dxa" w:w="1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100%</w:t>
            </w:r>
          </w:p>
        </w:tc>
        <w:tc>
          <w:tcPr>
            <w:tcW w:type="dxa" w:w="46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Cesta Básica Nacional (arroz, feijão, leite, carnes…); hortícolas, frutas e ovos; alguns dispositivos médicos e de acessibilidade; alguns medicamentos</w:t>
            </w:r>
          </w:p>
        </w:tc>
        <w:tc>
          <w:tcPr>
            <w:tcW w:type="dxa" w:w="2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Anexos I, XII, XIII, XIV e XV (arts. 125, 144 a 148)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Redução de 60%</w:t>
            </w:r>
          </w:p>
        </w:tc>
        <w:tc>
          <w:tcPr>
            <w:tcW w:type="dxa" w:w="1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60%</w:t>
            </w:r>
          </w:p>
        </w:tc>
        <w:tc>
          <w:tcPr>
            <w:tcW w:type="dxa" w:w="46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Educação; saúde; dispositivos médicos; acessibilidade; medicamentos; alimentos; higiene pessoal e limpeza; insumos agropecuários; produções culturais nacionais; soberania; segurança da informação</w:t>
            </w:r>
          </w:p>
        </w:tc>
        <w:tc>
          <w:tcPr>
            <w:tcW w:type="dxa" w:w="2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Anexos II a XI (arts. 128 a 142)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Redução de 30%</w:t>
            </w:r>
          </w:p>
        </w:tc>
        <w:tc>
          <w:tcPr>
            <w:tcW w:type="dxa" w:w="1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30%</w:t>
            </w:r>
          </w:p>
        </w:tc>
        <w:tc>
          <w:tcPr>
            <w:tcW w:type="dxa" w:w="46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Serviços de profissões intelectuais regulamentadas (advogados, contadores, engenheiros, arquitetos, economistas…)</w:t>
            </w:r>
          </w:p>
        </w:tc>
        <w:tc>
          <w:tcPr>
            <w:tcW w:type="dxa" w:w="2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Art. 127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Alíquota cheia</w:t>
            </w:r>
          </w:p>
        </w:tc>
        <w:tc>
          <w:tcPr>
            <w:tcW w:type="dxa" w:w="1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0%</w:t>
            </w:r>
          </w:p>
        </w:tc>
        <w:tc>
          <w:tcPr>
            <w:tcW w:type="dxa" w:w="46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Todo o resto</w:t>
            </w:r>
          </w:p>
        </w:tc>
        <w:tc>
          <w:tcPr>
            <w:tcW w:type="dxa" w:w="2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Regra geral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</w:rPr>
        <w:t xml:space="preserve">Detalhes que pegam: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Benefício condicionado ao comprador.</w:t>
      </w:r>
      <w:r>
        <w:rPr>
          <w:rFonts w:ascii="Calibri" w:cs="Calibri" w:eastAsia="Calibri" w:hAnsi="Calibri"/>
        </w:rPr>
        <w:t xml:space="preserve"> Alguns itens só têm alíquota zero quando vendidos a órgão público ou a entidade de saúde imune com CEBAS (SUS). O mesmo produto vendido a um hospital privado tem só 60% de redução.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Benefício que depende da descrição, não só do NCM.</w:t>
      </w:r>
      <w:r>
        <w:rPr>
          <w:rFonts w:ascii="Calibri" w:cs="Calibri" w:eastAsia="Calibri" w:hAnsi="Calibri"/>
        </w:rPr>
        <w:t xml:space="preserve"> Alguns itens dos anexos citam o produto (ex.: “Seringas, mesmo com agulhas”), e o mesmo NCM pode abranger outras coisas.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Medicamentos:</w:t>
      </w:r>
      <w:r>
        <w:rPr>
          <w:rFonts w:ascii="Calibri" w:cs="Calibri" w:eastAsia="Calibri" w:hAnsi="Calibri"/>
        </w:rPr>
        <w:t xml:space="preserve"> dependem do registro na Anvisa e de listas próprias, não só do NCM </w:t>
      </w:r>
      <w:r>
        <w:rPr>
          <w:rFonts w:ascii="Calibri" w:cs="Calibri" w:eastAsia="Calibri" w:hAnsi="Calibri"/>
          <w:b/>
          <w:bCs/>
        </w:rPr>
        <w:t xml:space="preserve">(conferir)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Benefícios não se somam:</w:t>
      </w:r>
      <w:r>
        <w:rPr>
          <w:rFonts w:ascii="Calibri" w:cs="Calibri" w:eastAsia="Calibri" w:hAnsi="Calibri"/>
        </w:rPr>
        <w:t xml:space="preserve"> quando há mais de um, aplica-se um só (LC 227) </w:t>
      </w:r>
      <w:r>
        <w:rPr>
          <w:rFonts w:ascii="Calibri" w:cs="Calibri" w:eastAsia="Calibri" w:hAnsi="Calibri"/>
          <w:b/>
          <w:bCs/>
        </w:rPr>
        <w:t xml:space="preserve">(conferir)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2.7 Regimes diferenciados e específicos</w:t>
      </w:r>
    </w:p>
    <w:p>
      <w:pPr>
        <w:spacing w:after="120"/>
      </w:pPr>
      <w:r>
        <w:rPr>
          <w:rFonts w:ascii="Calibri" w:cs="Calibri" w:eastAsia="Calibri" w:hAnsi="Calibri"/>
        </w:rPr>
        <w:t xml:space="preserve">Alguns setores têm regras próprias e ficam </w:t>
      </w:r>
      <w:r>
        <w:rPr>
          <w:rFonts w:ascii="Calibri" w:cs="Calibri" w:eastAsia="Calibri" w:hAnsi="Calibri"/>
          <w:b/>
          <w:bCs/>
        </w:rPr>
        <w:t xml:space="preserve">fora do escopo inicial</w:t>
      </w:r>
      <w:r>
        <w:rPr>
          <w:rFonts w:ascii="Calibri" w:cs="Calibri" w:eastAsia="Calibri" w:hAnsi="Calibri"/>
        </w:rPr>
        <w:t xml:space="preserve"> do validador, sinalizados para revisão manual: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combustíveis (tributação monofásica);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serviços financeiros e seguros;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planos de saúde;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concursos de prognósticos e apostas;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bens imóveis e construção;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cooperativas;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bares, restaurantes, hotelaria, parques e agências de turismo;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sociedades anônimas do futebol;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transporte coletivo de passageiros;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produtor rural não contribuinte, com </w:t>
      </w:r>
      <w:r>
        <w:rPr>
          <w:rFonts w:ascii="Calibri" w:cs="Calibri" w:eastAsia="Calibri" w:hAnsi="Calibri"/>
          <w:b/>
          <w:bCs/>
        </w:rPr>
        <w:t xml:space="preserve">crédito presumido</w:t>
      </w:r>
      <w:r>
        <w:rPr>
          <w:rFonts w:ascii="Calibri" w:cs="Calibri" w:eastAsia="Calibri" w:hAnsi="Calibri"/>
        </w:rPr>
        <w:t xml:space="preserve"> para quem compra dele;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Zona Franca de Manaus e áreas de livre comércio.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2.8 Crédito: amplo, mas condicionado</w:t>
      </w:r>
    </w:p>
    <w:p>
      <w:pPr>
        <w:spacing w:after="120"/>
      </w:pPr>
      <w:r>
        <w:rPr>
          <w:rFonts w:ascii="Calibri" w:cs="Calibri" w:eastAsia="Calibri" w:hAnsi="Calibri"/>
        </w:rPr>
        <w:t xml:space="preserve">O crédito passa a ser </w:t>
      </w:r>
      <w:r>
        <w:rPr>
          <w:rFonts w:ascii="Calibri" w:cs="Calibri" w:eastAsia="Calibri" w:hAnsi="Calibri"/>
          <w:b/>
          <w:bCs/>
        </w:rPr>
        <w:t xml:space="preserve">financeiro</w:t>
      </w:r>
      <w:r>
        <w:rPr>
          <w:rFonts w:ascii="Calibri" w:cs="Calibri" w:eastAsia="Calibri" w:hAnsi="Calibri"/>
        </w:rPr>
        <w:t xml:space="preserve">: tudo o que a empresa compra para a atividade gera crédito do IBS e da CBS destacados na nota de compra. Mas o crédito tem condições: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nota fiscal idônea e correta</w:t>
      </w:r>
      <w:r>
        <w:rPr>
          <w:rFonts w:ascii="Calibri" w:cs="Calibri" w:eastAsia="Calibri" w:hAnsi="Calibri"/>
        </w:rPr>
        <w:t xml:space="preserve"> (classificação, valores e destaque);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tributo efetivamente pago</w:t>
      </w:r>
      <w:r>
        <w:rPr>
          <w:rFonts w:ascii="Calibri" w:cs="Calibri" w:eastAsia="Calibri" w:hAnsi="Calibri"/>
        </w:rPr>
        <w:t xml:space="preserve"> pelo fornecedor (extinção do débito), seja por split payment, por recolhimento do próprio fornecedor ou pelo adquirente </w:t>
      </w:r>
      <w:r>
        <w:rPr>
          <w:rFonts w:ascii="Calibri" w:cs="Calibri" w:eastAsia="Calibri" w:hAnsi="Calibri"/>
          <w:b/>
          <w:bCs/>
        </w:rPr>
        <w:t xml:space="preserve">(conferir)</w:t>
      </w:r>
      <w:r>
        <w:rPr>
          <w:rFonts w:ascii="Calibri" w:cs="Calibri" w:eastAsia="Calibri" w:hAnsi="Calibri"/>
        </w:rP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compra de fornecedor do </w:t>
      </w:r>
      <w:r>
        <w:rPr>
          <w:rFonts w:ascii="Calibri" w:cs="Calibri" w:eastAsia="Calibri" w:hAnsi="Calibri"/>
          <w:b/>
          <w:bCs/>
        </w:rPr>
        <w:t xml:space="preserve">Simples</w:t>
      </w:r>
      <w:r>
        <w:rPr>
          <w:rFonts w:ascii="Calibri" w:cs="Calibri" w:eastAsia="Calibri" w:hAnsi="Calibri"/>
        </w:rPr>
        <w:t xml:space="preserve"> que recolhe dentro do DAS: crédito só do valor de IBS/CBS pago no DAS, bem menor;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devolução ou cancelamento: o vendedor estorna o débito e o comprador estorna o crédito, nas alíquotas da operação original </w:t>
      </w:r>
      <w:r>
        <w:rPr>
          <w:rFonts w:ascii="Calibri" w:cs="Calibri" w:eastAsia="Calibri" w:hAnsi="Calibri"/>
          <w:b/>
          <w:bCs/>
        </w:rPr>
        <w:t xml:space="preserve">(conferir)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</w:rPr>
        <w:t xml:space="preserve">Consequência comercial: </w:t>
      </w:r>
      <w:r>
        <w:rPr>
          <w:rFonts w:ascii="Calibri" w:cs="Calibri" w:eastAsia="Calibri" w:hAnsi="Calibri"/>
          <w:b/>
          <w:bCs/>
        </w:rPr>
        <w:t xml:space="preserve">quem emite nota errada prejudica o crédito do próprio cliente</w:t>
      </w:r>
      <w:r>
        <w:rPr>
          <w:rFonts w:ascii="Calibri" w:cs="Calibri" w:eastAsia="Calibri" w:hAnsi="Calibri"/>
        </w:rPr>
        <w:t xml:space="preserve">. Na disputa por clientes empresariais, emitir certo vira diferencial.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2.9 Split payment</w:t>
      </w:r>
    </w:p>
    <w:p>
      <w:pPr>
        <w:spacing w:after="120"/>
      </w:pPr>
      <w:r>
        <w:rPr>
          <w:rFonts w:ascii="Calibri" w:cs="Calibri" w:eastAsia="Calibri" w:hAnsi="Calibri"/>
        </w:rPr>
        <w:t xml:space="preserve">O </w:t>
      </w:r>
      <w:r>
        <w:rPr>
          <w:rFonts w:ascii="Calibri" w:cs="Calibri" w:eastAsia="Calibri" w:hAnsi="Calibri"/>
          <w:b/>
          <w:bCs/>
        </w:rPr>
        <w:t xml:space="preserve">split payment</w:t>
      </w:r>
      <w:r>
        <w:rPr>
          <w:rFonts w:ascii="Calibri" w:cs="Calibri" w:eastAsia="Calibri" w:hAnsi="Calibri"/>
        </w:rPr>
        <w:t xml:space="preserve"> (pagamento dividido) separa o imposto no momento do pagamento eletrônico (Pix, cartão, boleto). O banco ou a credenciadora manda a parte do IBS/CBS direto para o fisco, e o vendedor recebe o valor líquido.</w:t>
      </w:r>
    </w:p>
    <w:p>
      <w:pPr>
        <w:spacing w:after="120"/>
      </w:pPr>
      <w:r>
        <w:rPr>
          <w:rFonts w:ascii="Calibri" w:cs="Calibri" w:eastAsia="Calibri" w:hAnsi="Calibri"/>
        </w:rPr>
        <w:t xml:space="preserve">Isso muda o fluxo de caixa das empresas e liga o crédito do comprador ao pagamento. A obrigatoriedade foi adiada e está prevista para </w:t>
      </w:r>
      <w:r>
        <w:rPr>
          <w:rFonts w:ascii="Calibri" w:cs="Calibri" w:eastAsia="Calibri" w:hAnsi="Calibri"/>
          <w:b/>
          <w:bCs/>
        </w:rPr>
        <w:t xml:space="preserve">2028</w:t>
      </w:r>
      <w:r>
        <w:rPr>
          <w:rFonts w:ascii="Calibri" w:cs="Calibri" w:eastAsia="Calibri" w:hAnsi="Calibri"/>
        </w:rPr>
        <w:t xml:space="preserve"> </w:t>
      </w:r>
      <w:r>
        <w:rPr>
          <w:rFonts w:ascii="Calibri" w:cs="Calibri" w:eastAsia="Calibri" w:hAnsi="Calibri"/>
          <w:b/>
          <w:bCs/>
        </w:rPr>
        <w:t xml:space="preserve">(conferir)</w:t>
      </w:r>
      <w:r>
        <w:rPr>
          <w:rFonts w:ascii="Calibri" w:cs="Calibri" w:eastAsia="Calibri" w:hAnsi="Calibri"/>
        </w:rPr>
        <w:t xml:space="preserve">. Até lá, o recolhimento é por guia, com opção de recolhimento pelo adquirente.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2.10 Cashback</w:t>
      </w:r>
    </w:p>
    <w:p>
      <w:pPr>
        <w:spacing w:after="120"/>
      </w:pPr>
      <w:r>
        <w:rPr>
          <w:rFonts w:ascii="Calibri" w:cs="Calibri" w:eastAsia="Calibri" w:hAnsi="Calibri"/>
        </w:rPr>
        <w:t xml:space="preserve">Famílias de baixa renda inscritas no CadÚnico recebem de volta parte do IBS/CBS pago. Os percentuais são maiores em gás de cozinha, energia, água, esgoto e telecomunicações. Para o validador, isso aparece nos campos de devolução de tributos (gDevTrib) das notas a consumidor final, quando aplicável </w:t>
      </w:r>
      <w:r>
        <w:rPr>
          <w:rFonts w:ascii="Calibri" w:cs="Calibri" w:eastAsia="Calibri" w:hAnsi="Calibri"/>
          <w:b/>
          <w:bCs/>
        </w:rPr>
        <w:t xml:space="preserve">(conferir)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2.11 Simples Nacional e MEI</w:t>
      </w:r>
    </w:p>
    <w:p>
      <w:pPr>
        <w:spacing w:after="120"/>
      </w:pPr>
      <w:r>
        <w:rPr>
          <w:rFonts w:ascii="Calibri" w:cs="Calibri" w:eastAsia="Calibri" w:hAnsi="Calibri"/>
        </w:rPr>
        <w:t xml:space="preserve">A empresa do Simples continua no regime e tem dois caminhos para o IBS/CBS: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938"/>
        <w:gridCol w:w="2500"/>
      </w:tblGrid>
      <w:tr>
        <w:trPr>
          <w:cantSplit/>
          <w:tblHeader/>
        </w:trPr>
        <w:tc>
          <w:tcPr>
            <w:tcW w:type="dxa" w:w="22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Opção</w:t>
            </w:r>
          </w:p>
        </w:tc>
        <w:tc>
          <w:tcPr>
            <w:tcW w:type="dxa" w:w="49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Como funciona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Bom para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Dentro do DAS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 (padrão)</w:t>
            </w:r>
          </w:p>
        </w:tc>
        <w:tc>
          <w:tcPr>
            <w:tcW w:type="dxa" w:w="49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IBS/CBS continuam embutidos no DAS. O comprador só aproveita de crédito o valor efetivamente pago no DAS, pequeno (no comércio, na primeira faixa, perto de 0,6%)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(conferir)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Quem vende principalmente para consumidor final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Regime híbrido</w:t>
            </w:r>
          </w:p>
        </w:tc>
        <w:tc>
          <w:tcPr>
            <w:tcW w:type="dxa" w:w="49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IBS/CBS recolhidos “por fora”, como no regime regular, e o resto continua no DAS. O cliente empresarial aproveita o crédito cheio e a empresa também toma crédito das compras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Quem vende para outras empresas (B2B), que vão preferir fornecedor que gera crédito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</w:rPr>
        <w:t xml:space="preserve">A opção é semestral e vale pelo semestre inteiro. A janela e as datas são definidas em resolução do CGSN; a Resolução CGSN 194/2026 é citada com janela de 01/09 a 30/10/2026 </w:t>
      </w:r>
      <w:r>
        <w:rPr>
          <w:rFonts w:ascii="Calibri" w:cs="Calibri" w:eastAsia="Calibri" w:hAnsi="Calibri"/>
          <w:b/>
          <w:bCs/>
        </w:rPr>
        <w:t xml:space="preserve">(conferir)</w:t>
      </w:r>
      <w:r>
        <w:rPr>
          <w:rFonts w:ascii="Calibri" w:cs="Calibri" w:eastAsia="Calibri" w:hAnsi="Calibri"/>
        </w:rPr>
        <w:t xml:space="preserve">. A partir de 2027, as notas do Simples e do MEI também precisam trazer os campos de IBS/CBS </w:t>
      </w:r>
      <w:r>
        <w:rPr>
          <w:rFonts w:ascii="Calibri" w:cs="Calibri" w:eastAsia="Calibri" w:hAnsi="Calibri"/>
          <w:b/>
          <w:bCs/>
        </w:rPr>
        <w:t xml:space="preserve">(conferir)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</w:rPr>
        <w:t xml:space="preserve">Para o escritório, este é um tema de </w:t>
      </w:r>
      <w:r>
        <w:rPr>
          <w:rFonts w:ascii="Calibri" w:cs="Calibri" w:eastAsia="Calibri" w:hAnsi="Calibri"/>
          <w:b/>
          <w:bCs/>
        </w:rPr>
        <w:t xml:space="preserve">consultoria</w:t>
      </w:r>
      <w:r>
        <w:rPr>
          <w:rFonts w:ascii="Calibri" w:cs="Calibri" w:eastAsia="Calibri" w:hAnsi="Calibri"/>
        </w:rPr>
        <w:t xml:space="preserve"> com cada cliente do Simples. O simulador da Reforma no AthosBI já ajuda nessa conta.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2.12 Imposto Seletivo (IS)</w:t>
      </w:r>
    </w:p>
    <w:p>
      <w:pPr>
        <w:spacing w:after="120"/>
      </w:pPr>
      <w:r>
        <w:rPr>
          <w:rFonts w:ascii="Calibri" w:cs="Calibri" w:eastAsia="Calibri" w:hAnsi="Calibri"/>
        </w:rPr>
        <w:t xml:space="preserve">Começa em 2027 e incide uma vez só, na produção ou importação, sobre bens prejudiciais à saúde ou ao meio ambiente. Exemplos: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cigarros e bebidas alcoólicas;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bebidas açucaradas;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veículos, embarcações e aeronaves;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extração de minérios;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apostas.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Fica fora do escopo inicial do validador: só sinalizamos quando o NCM do item é de produto sujeito ao IS.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2.13 Apuração assistida</w:t>
      </w:r>
    </w:p>
    <w:p>
      <w:pPr>
        <w:spacing w:after="120"/>
      </w:pPr>
      <w:r>
        <w:rPr>
          <w:rFonts w:ascii="Calibri" w:cs="Calibri" w:eastAsia="Calibri" w:hAnsi="Calibri"/>
        </w:rPr>
        <w:t xml:space="preserve">Todo mês, a Receita (CBS) e o Comitê Gestor (IBS) montam uma </w:t>
      </w:r>
      <w:r>
        <w:rPr>
          <w:rFonts w:ascii="Calibri" w:cs="Calibri" w:eastAsia="Calibri" w:hAnsi="Calibri"/>
          <w:b/>
          <w:bCs/>
        </w:rPr>
        <w:t xml:space="preserve">apuração pré-pronta</w:t>
      </w:r>
      <w:r>
        <w:rPr>
          <w:rFonts w:ascii="Calibri" w:cs="Calibri" w:eastAsia="Calibri" w:hAnsi="Calibri"/>
        </w:rPr>
        <w:t xml:space="preserve"> a partir de três fontes: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os débitos das notas emitidas;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os créditos das notas recebidas;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os pagamentos já feitos.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A empresa confere e pode ajustar. </w:t>
      </w:r>
      <w:r>
        <w:rPr>
          <w:rFonts w:ascii="Calibri" w:cs="Calibri" w:eastAsia="Calibri" w:hAnsi="Calibri"/>
          <w:b/>
          <w:bCs/>
        </w:rPr>
        <w:t xml:space="preserve">Se não fizer nada no prazo, a apuração é considerada confirmada</w:t>
      </w:r>
      <w:r>
        <w:rPr>
          <w:rFonts w:ascii="Calibri" w:cs="Calibri" w:eastAsia="Calibri" w:hAnsi="Calibri"/>
        </w:rPr>
        <w:t xml:space="preserve"> e o saldo vira débito constituído, uma confissão de dívida (arts. 45 e 46 da LC 214). Isso vale a partir de 2027; em 2026 a apuração é só informativa (Ato Conjunto RFB/CGIBS 1/2025).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D7A55" w:sz="24"/>
              <w:bottom w:val="none" w:color="FFFFFF" w:sz="0"/>
              <w:right w:val="none" w:color="FFFFFF" w:sz="0"/>
            </w:tcBorders>
            <w:shd w:fill="E6F4E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D7A55"/>
                <w:sz w:val="21"/>
                <w:szCs w:val="21"/>
              </w:rPr>
              <w:t xml:space="preserve">O que isso significa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</w:rPr>
              <w:t xml:space="preserve">A apuração deixa de ser algo que o escritório “faz” no fim do mês. Ela passa a ser </w:t>
            </w:r>
            <w:r>
              <w:rPr>
                <w:rFonts w:ascii="Calibri" w:cs="Calibri" w:eastAsia="Calibri" w:hAnsi="Calibri"/>
                <w:b/>
                <w:bCs/>
              </w:rPr>
              <w:t xml:space="preserve">o espelho das notas</w:t>
            </w:r>
            <w:r>
              <w:rPr>
                <w:rFonts w:ascii="Calibri" w:cs="Calibri" w:eastAsia="Calibri" w:hAnsi="Calibri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</w:rPr>
              <w:t xml:space="preserve">Nota errada = apuração errada. Nota cancelada fora de hora = ajuste a fazer na apuração.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</w:rPr>
              <w:t xml:space="preserve">O escritório deixa de calcular e passa a </w:t>
            </w:r>
            <w:r>
              <w:rPr>
                <w:rFonts w:ascii="Calibri" w:cs="Calibri" w:eastAsia="Calibri" w:hAnsi="Calibri"/>
                <w:b/>
                <w:bCs/>
              </w:rPr>
              <w:t xml:space="preserve">conferir e corrigir</w:t>
            </w:r>
            <w:r>
              <w:rPr>
                <w:rFonts w:ascii="Calibri" w:cs="Calibri" w:eastAsia="Calibri" w:hAnsi="Calibri"/>
              </w:rPr>
              <w:t xml:space="preserve">. O nosso app entra exatamente aí: conferir as notas antes que elas virem apuração.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</w:rPr>
              <w:t xml:space="preserve">O Comitê Gestor publica um manual da API da apuração (versão 1.10, set/2026) </w:t>
            </w:r>
            <w:r>
              <w:rPr>
                <w:rFonts w:ascii="Calibri" w:cs="Calibri" w:eastAsia="Calibri" w:hAnsi="Calibri"/>
                <w:b/>
                <w:bCs/>
              </w:rPr>
              <w:t xml:space="preserve">(conferir)</w:t>
            </w:r>
            <w:r>
              <w:rPr>
                <w:rFonts w:ascii="Calibri" w:cs="Calibri" w:eastAsia="Calibri" w:hAnsi="Calibri"/>
              </w:rPr>
              <w:t xml:space="preserve">. No futuro dá para cruzar automaticamente as notas com a apuração assistida.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2.14 Cancelamento, correção e multas</w:t>
      </w:r>
    </w:p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color w:val="D9622B"/>
          <w:spacing w:val="20"/>
          <w:sz w:val="17"/>
          <w:szCs w:val="17"/>
        </w:rPr>
        <w:t xml:space="preserve">PRAZO PARA CANCELAR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Regra geral: </w:t>
      </w:r>
      <w:r>
        <w:rPr>
          <w:rFonts w:ascii="Calibri" w:cs="Calibri" w:eastAsia="Calibri" w:hAnsi="Calibri"/>
          <w:b/>
          <w:bCs/>
        </w:rPr>
        <w:t xml:space="preserve">24 horas</w:t>
      </w:r>
      <w:r>
        <w:rPr>
          <w:rFonts w:ascii="Calibri" w:cs="Calibri" w:eastAsia="Calibri" w:hAnsi="Calibri"/>
        </w:rPr>
        <w:t xml:space="preserve"> depois da autorização. Algumas UFs aceitam até </w:t>
      </w:r>
      <w:r>
        <w:rPr>
          <w:rFonts w:ascii="Calibri" w:cs="Calibri" w:eastAsia="Calibri" w:hAnsi="Calibri"/>
          <w:b/>
          <w:bCs/>
        </w:rPr>
        <w:t xml:space="preserve">168 horas</w:t>
      </w:r>
      <w:r>
        <w:rPr>
          <w:rFonts w:ascii="Calibri" w:cs="Calibri" w:eastAsia="Calibri" w:hAnsi="Calibri"/>
        </w:rPr>
        <w:t xml:space="preserve"> (7 dias), e o cancelamento extemporâneo depende de cada SEFAZ. </w:t>
      </w:r>
      <w:r>
        <w:rPr>
          <w:rFonts w:ascii="Calibri" w:cs="Calibri" w:eastAsia="Calibri" w:hAnsi="Calibri"/>
          <w:b/>
          <w:bCs/>
        </w:rPr>
        <w:t xml:space="preserve">Não existe prazo único nacional</w:t>
      </w:r>
      <w:r>
        <w:rPr>
          <w:rFonts w:ascii="Calibri" w:cs="Calibri" w:eastAsia="Calibri" w:hAnsi="Calibri"/>
        </w:rPr>
        <w:t xml:space="preserve">, por isso o prazo de cada cliente fica no cadastro.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Não se cancela nota de mercadoria que </w:t>
      </w:r>
      <w:r>
        <w:rPr>
          <w:rFonts w:ascii="Calibri" w:cs="Calibri" w:eastAsia="Calibri" w:hAnsi="Calibri"/>
          <w:b/>
          <w:bCs/>
        </w:rPr>
        <w:t xml:space="preserve">já circulou</w:t>
      </w:r>
      <w:r>
        <w:rPr>
          <w:rFonts w:ascii="Calibri" w:cs="Calibri" w:eastAsia="Calibri" w:hAnsi="Calibri"/>
        </w:rPr>
        <w:t xml:space="preserve">. Nesse caso, o caminho é devolução ou nota de crédito.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 cancelamento é feito pelo evento 110111.</w:t>
      </w:r>
    </w:p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color w:val="D9622B"/>
          <w:spacing w:val="20"/>
          <w:sz w:val="17"/>
          <w:szCs w:val="17"/>
        </w:rPr>
        <w:t xml:space="preserve">MULTAS NOVAS (LC 227/2026, ART. 341-G, XVII) (CONFERIR)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33%</w:t>
      </w:r>
      <w:r>
        <w:rPr>
          <w:rFonts w:ascii="Calibri" w:cs="Calibri" w:eastAsia="Calibri" w:hAnsi="Calibri"/>
        </w:rPr>
        <w:t xml:space="preserve"> do tributo de referência: cancelar fora do prazo legal.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66%</w:t>
      </w:r>
      <w:r>
        <w:rPr>
          <w:rFonts w:ascii="Calibri" w:cs="Calibri" w:eastAsia="Calibri" w:hAnsi="Calibri"/>
        </w:rPr>
        <w:t xml:space="preserve"> do tributo de referência: cancelar depois da ocorrência do fato gerador.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 “tributo de referência” é definido na lei para calcular essas multas. Uma das fontes cita 6% (CBS) e 12% (IBS) do valor da operação em 2026.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Exemplo ilustrativo, se for 18% do valor: numa nota de R$ 10.000, o tributo de referência é R$ 1.800, e a multa é </w:t>
      </w:r>
      <w:r>
        <w:rPr>
          <w:rFonts w:ascii="Calibri" w:cs="Calibri" w:eastAsia="Calibri" w:hAnsi="Calibri"/>
          <w:b/>
          <w:bCs/>
        </w:rPr>
        <w:t xml:space="preserve">R$ 594</w:t>
      </w:r>
      <w:r>
        <w:rPr>
          <w:rFonts w:ascii="Calibri" w:cs="Calibri" w:eastAsia="Calibri" w:hAnsi="Calibri"/>
        </w:rPr>
        <w:t xml:space="preserve"> (33%) ou </w:t>
      </w:r>
      <w:r>
        <w:rPr>
          <w:rFonts w:ascii="Calibri" w:cs="Calibri" w:eastAsia="Calibri" w:hAnsi="Calibri"/>
          <w:b/>
          <w:bCs/>
        </w:rPr>
        <w:t xml:space="preserve">R$ 1.188</w:t>
      </w:r>
      <w:r>
        <w:rPr>
          <w:rFonts w:ascii="Calibri" w:cs="Calibri" w:eastAsia="Calibri" w:hAnsi="Calibri"/>
        </w:rPr>
        <w:t xml:space="preserve"> (66%).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Em 2026 existe autorregularização sem multa depois de intimação (art. 348) </w:t>
      </w:r>
      <w:r>
        <w:rPr>
          <w:rFonts w:ascii="Calibri" w:cs="Calibri" w:eastAsia="Calibri" w:hAnsi="Calibri"/>
          <w:b/>
          <w:bCs/>
        </w:rPr>
        <w:t xml:space="preserve">(conferir)</w:t>
      </w:r>
      <w:r>
        <w:rPr>
          <w:rFonts w:ascii="Calibri" w:cs="Calibri" w:eastAsia="Calibri" w:hAnsi="Calibri"/>
        </w:rPr>
        <w:t xml:space="preserve">.</w:t>
      </w:r>
    </w:p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color w:val="D9622B"/>
          <w:spacing w:val="20"/>
          <w:sz w:val="17"/>
          <w:szCs w:val="17"/>
        </w:rPr>
        <w:t xml:space="preserve">O QUE DÁ PARA CORRIGIR SEM CANCELAR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838"/>
      </w:tblGrid>
      <w:tr>
        <w:trPr>
          <w:cantSplit/>
          <w:tblHeader/>
        </w:trPr>
        <w:tc>
          <w:tcPr>
            <w:tcW w:type="dxa" w:w="3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Situação</w:t>
            </w:r>
          </w:p>
        </w:tc>
        <w:tc>
          <w:tcPr>
            <w:tcW w:type="dxa" w:w="2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Ferramenta</w:t>
            </w:r>
          </w:p>
        </w:tc>
        <w:tc>
          <w:tcPr>
            <w:tcW w:type="dxa" w:w="38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Observação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Erro percebido no prazo e mercadoria que não saiu</w:t>
            </w:r>
          </w:p>
        </w:tc>
        <w:tc>
          <w:tcPr>
            <w:tcW w:type="dxa" w:w="2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Cancelar e emitir de novo</w:t>
            </w:r>
          </w:p>
        </w:tc>
        <w:tc>
          <w:tcPr>
            <w:tcW w:type="dxa" w:w="38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O melhor caminho. Por isso o app conta as horas desde a autorização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Erro de texto que não mexe em valor de imposto</w:t>
            </w:r>
          </w:p>
        </w:tc>
        <w:tc>
          <w:tcPr>
            <w:tcW w:type="dxa" w:w="2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Carta de correção (CC-e)</w:t>
            </w:r>
          </w:p>
        </w:tc>
        <w:tc>
          <w:tcPr>
            <w:tcW w:type="dxa" w:w="38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Não pode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 alterar base, alíquota, valores, quantidade ou nada que mude o imposto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Imposto ou valor destacado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a maior</w:t>
            </w:r>
          </w:p>
        </w:tc>
        <w:tc>
          <w:tcPr>
            <w:tcW w:type="dxa" w:w="2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Nota de crédito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 (finalidade 5)</w:t>
            </w:r>
          </w:p>
        </w:tc>
        <w:tc>
          <w:tcPr>
            <w:tcW w:type="dxa" w:w="38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Tipo 04, redução de valores; ou devolução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Imposto ou valor destacado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a menor</w:t>
            </w:r>
          </w:p>
        </w:tc>
        <w:tc>
          <w:tcPr>
            <w:tcW w:type="dxa" w:w="2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Nota complementar (finalidade 2) ou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nota de débito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 (finalidade 6), conforme o caso</w:t>
            </w:r>
          </w:p>
        </w:tc>
        <w:tc>
          <w:tcPr>
            <w:tcW w:type="dxa" w:w="38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Conferir o tipo correto na NT vigente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(conferir)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Mercadoria devolvida</w:t>
            </w:r>
          </w:p>
        </w:tc>
        <w:tc>
          <w:tcPr>
            <w:tcW w:type="dxa" w:w="2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Nota de devolução (finalidade 4)</w:t>
            </w:r>
          </w:p>
        </w:tc>
        <w:tc>
          <w:tcPr>
            <w:tcW w:type="dxa" w:w="38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Mesma classificação 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alíquotas da operação original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Cancelamento que não entrou na apuração</w:t>
            </w:r>
          </w:p>
        </w:tc>
        <w:tc>
          <w:tcPr>
            <w:tcW w:type="dxa" w:w="2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Nota de débito tipo 03</w:t>
            </w:r>
          </w:p>
        </w:tc>
        <w:tc>
          <w:tcPr>
            <w:tcW w:type="dxa" w:w="38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Débitos de notas não processadas na apuração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8A5A00" w:sz="24"/>
              <w:bottom w:val="none" w:color="FFFFFF" w:sz="0"/>
              <w:right w:val="none" w:color="FFFFFF" w:sz="0"/>
            </w:tcBorders>
            <w:shd w:fill="FFF4D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21"/>
                <w:szCs w:val="21"/>
              </w:rPr>
              <w:t xml:space="preserve">A sua pergunta: “nota emitida errada e cancelada perde grande parte do crédito?”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</w:rPr>
              <w:t xml:space="preserve">Parcialmente correto.</w:t>
            </w:r>
            <w:r>
              <w:rPr>
                <w:rFonts w:ascii="Calibri" w:cs="Calibri" w:eastAsia="Calibri" w:hAnsi="Calibri"/>
              </w:rPr>
              <w:t xml:space="preserve"> Não existe na lei uma regra de “perder o crédito” por cancelar. O custo real vem de três lugares: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/>
                <w:bCs/>
              </w:rPr>
              <w:t xml:space="preserve">Multa</w:t>
            </w:r>
            <w:r>
              <w:rPr>
                <w:rFonts w:ascii="Calibri" w:cs="Calibri" w:eastAsia="Calibri" w:hAnsi="Calibri"/>
              </w:rPr>
              <w:t xml:space="preserve"> de 33% ou 66% do tributo de referência no cancelamento fora do prazo ou depois do fato gerador (LC 227) </w:t>
            </w:r>
            <w:r>
              <w:rPr>
                <w:rFonts w:ascii="Calibri" w:cs="Calibri" w:eastAsia="Calibri" w:hAnsi="Calibri"/>
                <w:b/>
                <w:bCs/>
              </w:rPr>
              <w:t xml:space="preserve">(conferir)</w:t>
            </w:r>
            <w:r>
              <w:rPr>
                <w:rFonts w:ascii="Calibri" w:cs="Calibri" w:eastAsia="Calibri" w:hAnsi="Calibri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/>
                <w:bCs/>
              </w:rPr>
              <w:t xml:space="preserve">Crédito do comprador</w:t>
            </w:r>
            <w:r>
              <w:rPr>
                <w:rFonts w:ascii="Calibri" w:cs="Calibri" w:eastAsia="Calibri" w:hAnsi="Calibri"/>
              </w:rPr>
              <w:t xml:space="preserve"> depende de nota correta e de tributo pago. Nota errada ou cancelada trava ou estorna o crédito do cliente do nosso cliente.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/>
                <w:bCs/>
              </w:rPr>
              <w:t xml:space="preserve">Apuração assistida:</w:t>
            </w:r>
            <w:r>
              <w:rPr>
                <w:rFonts w:ascii="Calibri" w:cs="Calibri" w:eastAsia="Calibri" w:hAnsi="Calibri"/>
              </w:rPr>
              <w:t xml:space="preserve"> nota não cancelada a tempo entra como débito. Ajustar dá trabalho e, a partir de 2027, o que não for contestado vira dívida confessada.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Conclusão:</w:t>
            </w:r>
            <w:r>
              <w:rPr>
                <w:rFonts w:ascii="Calibri" w:cs="Calibri" w:eastAsia="Calibri" w:hAnsi="Calibri"/>
              </w:rPr>
              <w:t xml:space="preserve"> o custo do erro é real e alto. </w:t>
            </w:r>
            <w:r>
              <w:rPr>
                <w:rFonts w:ascii="Calibri" w:cs="Calibri" w:eastAsia="Calibri" w:hAnsi="Calibri"/>
                <w:b/>
                <w:bCs/>
              </w:rPr>
              <w:t xml:space="preserve">Prevenir sai muito mais barato do que corrigir</w:t>
            </w:r>
            <w:r>
              <w:rPr>
                <w:rFonts w:ascii="Calibri" w:cs="Calibri" w:eastAsia="Calibri" w:hAnsi="Calibri"/>
              </w:rPr>
              <w:t xml:space="preserve">, e essa é a justificativa do produto.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2.15 Nota de crédito e nota de débito</w:t>
      </w:r>
    </w:p>
    <w:p>
      <w:pPr>
        <w:spacing w:after="120"/>
      </w:pPr>
      <w:r>
        <w:rPr>
          <w:rFonts w:ascii="Calibri" w:cs="Calibri" w:eastAsia="Calibri" w:hAnsi="Calibri"/>
        </w:rPr>
        <w:t xml:space="preserve">São tipos novos de NF-e, criados para ajustar valores de IBS/CBS sem cancelar a nota original. Elas sempre referenciam a nota original.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Nota de débito (finNFe = 6) — tipo</w:t>
            </w:r>
          </w:p>
        </w:tc>
        <w:tc>
          <w:tcPr>
            <w:tcW w:type="dxa" w:w="66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Para quê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01</w:t>
            </w:r>
          </w:p>
        </w:tc>
        <w:tc>
          <w:tcPr>
            <w:tcW w:type="dxa" w:w="66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Transferência de créditos para cooperativas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02</w:t>
            </w:r>
          </w:p>
        </w:tc>
        <w:tc>
          <w:tcPr>
            <w:tcW w:type="dxa" w:w="66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Anulação de crédito por saídas imunes ou isentas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03</w:t>
            </w:r>
          </w:p>
        </w:tc>
        <w:tc>
          <w:tcPr>
            <w:tcW w:type="dxa" w:w="66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Débitos de notas fiscais não processadas na apuração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04</w:t>
            </w:r>
          </w:p>
        </w:tc>
        <w:tc>
          <w:tcPr>
            <w:tcW w:type="dxa" w:w="66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Multa e juros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05</w:t>
            </w:r>
          </w:p>
        </w:tc>
        <w:tc>
          <w:tcPr>
            <w:tcW w:type="dxa" w:w="66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Transferência de crédito na sucessão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06</w:t>
            </w:r>
          </w:p>
        </w:tc>
        <w:tc>
          <w:tcPr>
            <w:tcW w:type="dxa" w:w="66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Pagamento antecipado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07</w:t>
            </w:r>
          </w:p>
        </w:tc>
        <w:tc>
          <w:tcPr>
            <w:tcW w:type="dxa" w:w="66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Perda em estoque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08</w:t>
            </w:r>
          </w:p>
        </w:tc>
        <w:tc>
          <w:tcPr>
            <w:tcW w:type="dxa" w:w="66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Desenquadramento do Simples Nacional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Nota de crédito (finNFe = 5) — tipo</w:t>
            </w:r>
          </w:p>
        </w:tc>
        <w:tc>
          <w:tcPr>
            <w:tcW w:type="dxa" w:w="66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Para quê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01</w:t>
            </w:r>
          </w:p>
        </w:tc>
        <w:tc>
          <w:tcPr>
            <w:tcW w:type="dxa" w:w="66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Multa e juros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02</w:t>
            </w:r>
          </w:p>
        </w:tc>
        <w:tc>
          <w:tcPr>
            <w:tcW w:type="dxa" w:w="66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Apropriação de crédito presumido de IBS sobre saldo devedor na ZFM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03</w:t>
            </w:r>
          </w:p>
        </w:tc>
        <w:tc>
          <w:tcPr>
            <w:tcW w:type="dxa" w:w="66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Retorno por recusa na entrega ou por não localização do destinatário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04</w:t>
            </w:r>
          </w:p>
        </w:tc>
        <w:tc>
          <w:tcPr>
            <w:tcW w:type="dxa" w:w="66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Redução de valores ou de quantidades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05</w:t>
            </w:r>
          </w:p>
        </w:tc>
        <w:tc>
          <w:tcPr>
            <w:tcW w:type="dxa" w:w="66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Transferência de crédito na sucessão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06</w:t>
            </w:r>
          </w:p>
        </w:tc>
        <w:tc>
          <w:tcPr>
            <w:tcW w:type="dxa" w:w="66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Retorno por recusa parcial (incluído na versão 1.36 da NT)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  <w:i/>
          <w:iCs/>
          <w:color w:val="5B6670"/>
        </w:rPr>
        <w:t xml:space="preserve">Tabelas conforme a NT 2025.002 e publicações técnicas (nfe.io, Inventti). Os tipos podem mudar a cada versão da NT (conferir).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2.16 O que muda na prática para as empresas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500"/>
        <w:gridCol w:w="4238"/>
      </w:tblGrid>
      <w:tr>
        <w:trPr>
          <w:cantSplit/>
          <w:tblHeader/>
        </w:trPr>
        <w:tc>
          <w:tcPr>
            <w:tcW w:type="dxa" w:w="1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Área</w:t>
            </w:r>
          </w:p>
        </w:tc>
        <w:tc>
          <w:tcPr>
            <w:tcW w:type="dxa" w:w="3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Impacto</w:t>
            </w:r>
          </w:p>
        </w:tc>
        <w:tc>
          <w:tcPr>
            <w:tcW w:type="dxa" w:w="4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 que fazer agora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Cadastro de produtos</w:t>
            </w:r>
          </w:p>
        </w:tc>
        <w:tc>
          <w:tcPr>
            <w:tcW w:type="dxa" w:w="3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O NCM passa a decidir a alíquota do IBS/CBS</w:t>
            </w:r>
          </w:p>
        </w:tc>
        <w:tc>
          <w:tcPr>
            <w:tcW w:type="dxa" w:w="4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Revisar NCM e descrição de todos os itens; classificar cada um (cClassTrib)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Sistema emissor (ERP)</w:t>
            </w:r>
          </w:p>
        </w:tc>
        <w:tc>
          <w:tcPr>
            <w:tcW w:type="dxa" w:w="3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Precisa dos campos novos e da regra fiscal por produto e operação</w:t>
            </w:r>
          </w:p>
        </w:tc>
        <w:tc>
          <w:tcPr>
            <w:tcW w:type="dxa" w:w="4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Atualizar o ERP; parametrizar CST, cClassTrib e alíquotas por ano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Preços</w:t>
            </w:r>
          </w:p>
        </w:tc>
        <w:tc>
          <w:tcPr>
            <w:tcW w:type="dxa" w:w="3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O imposto passa a ser “por fora” e a carga muda por setor</w:t>
            </w:r>
          </w:p>
        </w:tc>
        <w:tc>
          <w:tcPr>
            <w:tcW w:type="dxa" w:w="4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Refazer a formação de preço; simular 2027 a 2033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Contratos longos</w:t>
            </w:r>
          </w:p>
        </w:tc>
        <w:tc>
          <w:tcPr>
            <w:tcW w:type="dxa" w:w="3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O preço pode precisar de reequilíbrio</w:t>
            </w:r>
          </w:p>
        </w:tc>
        <w:tc>
          <w:tcPr>
            <w:tcW w:type="dxa" w:w="4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Revisar cláusulas de reajuste por mudança tributária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Caixa</w:t>
            </w:r>
          </w:p>
        </w:tc>
        <w:tc>
          <w:tcPr>
            <w:tcW w:type="dxa" w:w="3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O split payment retém o imposto no recebimento</w:t>
            </w:r>
          </w:p>
        </w:tc>
        <w:tc>
          <w:tcPr>
            <w:tcW w:type="dxa" w:w="4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Projetar o fluxo de caixa com a retenção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Compras</w:t>
            </w:r>
          </w:p>
        </w:tc>
        <w:tc>
          <w:tcPr>
            <w:tcW w:type="dxa" w:w="3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O crédito depende de fornecedor que emite certo e paga</w:t>
            </w:r>
          </w:p>
        </w:tc>
        <w:tc>
          <w:tcPr>
            <w:tcW w:type="dxa" w:w="4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Preferir fornecedores que geram crédito; conferir as notas recebidas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Simples Nacional</w:t>
            </w:r>
          </w:p>
        </w:tc>
        <w:tc>
          <w:tcPr>
            <w:tcW w:type="dxa" w:w="3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O cliente B2B pode preferir quem gera crédito cheio</w:t>
            </w:r>
          </w:p>
        </w:tc>
        <w:tc>
          <w:tcPr>
            <w:tcW w:type="dxa" w:w="4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Avaliar o regime híbrido a cada semestre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Faturamento</w:t>
            </w:r>
          </w:p>
        </w:tc>
        <w:tc>
          <w:tcPr>
            <w:tcW w:type="dxa" w:w="3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Erro custa multa e crédito</w:t>
            </w:r>
          </w:p>
        </w:tc>
        <w:tc>
          <w:tcPr>
            <w:tcW w:type="dxa" w:w="4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Treinar a equipe; conferir as notas no mesmo dia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2.17 Mitos e verdades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cantSplit/>
          <w:tblHeader/>
        </w:trPr>
        <w:tc>
          <w:tcPr>
            <w:tcW w:type="dxa" w:w="3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 que se ouve</w:t>
            </w:r>
          </w:p>
        </w:tc>
        <w:tc>
          <w:tcPr>
            <w:tcW w:type="dxa" w:w="63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 verdade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“Em 2026 eu já pago CBS.”</w:t>
            </w:r>
          </w:p>
        </w:tc>
        <w:tc>
          <w:tcPr>
            <w:tcW w:type="dxa" w:w="63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Em 2026 é teste. O valor é compensável com PIS/Cofins, e quem cumpre as obrigações fica dispensado de recolher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(conferir)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. Mas os campos já são obrigatórios na nota.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“A SEFAZ rejeita se a classificação estiver errada.”</w:t>
            </w:r>
          </w:p>
        </w:tc>
        <w:tc>
          <w:tcPr>
            <w:tcW w:type="dxa" w:w="63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Não.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 A SEFAZ confere formato, existência do código e compatibilidade entre CST e cClassTrib. Ela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não sabe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 se aquele produto, para aquele comprador, merece aquele cClassTrib. Esse é o buraco que o nosso app cobre.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“O ERP resolve sozinho.”</w:t>
            </w:r>
          </w:p>
        </w:tc>
        <w:tc>
          <w:tcPr>
            <w:tcW w:type="dxa" w:w="63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O ERP calcula a partir do cadastro e da regra fiscal que alguém configurou. Cadastro errado gera nota errada, em massa.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“A alíquota vai ser 26,5%.”</w:t>
            </w:r>
          </w:p>
        </w:tc>
        <w:tc>
          <w:tcPr>
            <w:tcW w:type="dxa" w:w="63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Ainda não está definida. As estimativas vão de 26,5% a 28% somando CBS e IBS.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“Simples não muda nada.”</w:t>
            </w:r>
          </w:p>
        </w:tc>
        <w:tc>
          <w:tcPr>
            <w:tcW w:type="dxa" w:w="63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Muda: os clientes empresariais vão comparar o crédito que cada fornecedor gera, e existe a opção híbrida.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“Cancelou, perdeu o crédito.”</w:t>
            </w:r>
          </w:p>
        </w:tc>
        <w:tc>
          <w:tcPr>
            <w:tcW w:type="dxa" w:w="63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Não exatamente. Há multas por cancelamento fora do prazo e reflexos no crédito do comprador (ver 2.14).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“Carta de correção conserta o imposto.”</w:t>
            </w:r>
          </w:p>
        </w:tc>
        <w:tc>
          <w:tcPr>
            <w:tcW w:type="dxa" w:w="63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Não. A CC-e não pode mexer em nada que altere o valor do imposto.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3. Conceitos para emitir certo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B6670"/>
        </w:rPr>
        <w:t xml:space="preserve">Os códigos que decidem se a nota está certa, com exemplos reais da base que o AthosBI já tem.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3.1 NCM e NBS</w:t>
      </w:r>
    </w:p>
    <w:p>
      <w:pPr>
        <w:spacing w:after="120"/>
      </w:pPr>
      <w:r>
        <w:rPr>
          <w:rFonts w:ascii="Calibri" w:cs="Calibri" w:eastAsia="Calibri" w:hAnsi="Calibri"/>
        </w:rPr>
        <w:t xml:space="preserve">O </w:t>
      </w:r>
      <w:r>
        <w:rPr>
          <w:rFonts w:ascii="Calibri" w:cs="Calibri" w:eastAsia="Calibri" w:hAnsi="Calibri"/>
          <w:b/>
          <w:bCs/>
        </w:rPr>
        <w:t xml:space="preserve">NCM</w:t>
      </w:r>
      <w:r>
        <w:rPr>
          <w:rFonts w:ascii="Calibri" w:cs="Calibri" w:eastAsia="Calibri" w:hAnsi="Calibri"/>
        </w:rPr>
        <w:t xml:space="preserve"> (Nomenclatura Comum do Mercosul) é o código de </w:t>
      </w:r>
      <w:r>
        <w:rPr>
          <w:rFonts w:ascii="Calibri" w:cs="Calibri" w:eastAsia="Calibri" w:hAnsi="Calibri"/>
          <w:b/>
          <w:bCs/>
        </w:rPr>
        <w:t xml:space="preserve">8 dígitos</w:t>
      </w:r>
      <w:r>
        <w:rPr>
          <w:rFonts w:ascii="Calibri" w:cs="Calibri" w:eastAsia="Calibri" w:hAnsi="Calibri"/>
        </w:rPr>
        <w:t xml:space="preserve"> que classifica cada mercadoria. A estrutura é hierárquica: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6038"/>
      </w:tblGrid>
      <w:tr>
        <w:trPr>
          <w:cantSplit/>
          <w:tblHeader/>
        </w:trPr>
        <w:tc>
          <w:tcPr>
            <w:tcW w:type="dxa" w:w="1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Dígitos</w:t>
            </w:r>
          </w:p>
        </w:tc>
        <w:tc>
          <w:tcPr>
            <w:tcW w:type="dxa" w:w="22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Nível</w:t>
            </w:r>
          </w:p>
        </w:tc>
        <w:tc>
          <w:tcPr>
            <w:tcW w:type="dxa" w:w="60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Exemplo: 1006.30.21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2</w:t>
            </w:r>
          </w:p>
        </w:tc>
        <w:tc>
          <w:tcPr>
            <w:tcW w:type="dxa" w:w="22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Capítulo</w:t>
            </w:r>
          </w:p>
        </w:tc>
        <w:tc>
          <w:tcPr>
            <w:tcW w:type="dxa" w:w="60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10 — Cereais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4</w:t>
            </w:r>
          </w:p>
        </w:tc>
        <w:tc>
          <w:tcPr>
            <w:tcW w:type="dxa" w:w="22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Posição</w:t>
            </w:r>
          </w:p>
        </w:tc>
        <w:tc>
          <w:tcPr>
            <w:tcW w:type="dxa" w:w="60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1006 — Arroz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6</w:t>
            </w:r>
          </w:p>
        </w:tc>
        <w:tc>
          <w:tcPr>
            <w:tcW w:type="dxa" w:w="22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Subposição</w:t>
            </w:r>
          </w:p>
        </w:tc>
        <w:tc>
          <w:tcPr>
            <w:tcW w:type="dxa" w:w="60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1006.30 — Arroz semibranqueado ou branqueado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7 e 8</w:t>
            </w:r>
          </w:p>
        </w:tc>
        <w:tc>
          <w:tcPr>
            <w:tcW w:type="dxa" w:w="22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Item e subitem</w:t>
            </w:r>
          </w:p>
        </w:tc>
        <w:tc>
          <w:tcPr>
            <w:tcW w:type="dxa" w:w="60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1006.30.21 — o detalhe do tipo de arroz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</w:rPr>
        <w:t xml:space="preserve">A </w:t>
      </w:r>
      <w:r>
        <w:rPr>
          <w:rFonts w:ascii="Calibri" w:cs="Calibri" w:eastAsia="Calibri" w:hAnsi="Calibri"/>
          <w:b/>
          <w:bCs/>
        </w:rPr>
        <w:t xml:space="preserve">NBS</w:t>
      </w:r>
      <w:r>
        <w:rPr>
          <w:rFonts w:ascii="Calibri" w:cs="Calibri" w:eastAsia="Calibri" w:hAnsi="Calibri"/>
        </w:rPr>
        <w:t xml:space="preserve"> (Nomenclatura Brasileira de Serviços) é o equivalente para serviços, com </w:t>
      </w:r>
      <w:r>
        <w:rPr>
          <w:rFonts w:ascii="Calibri" w:cs="Calibri" w:eastAsia="Calibri" w:hAnsi="Calibri"/>
          <w:b/>
          <w:bCs/>
        </w:rPr>
        <w:t xml:space="preserve">9 dígitos</w:t>
      </w:r>
      <w:r>
        <w:rPr>
          <w:rFonts w:ascii="Calibri" w:cs="Calibri" w:eastAsia="Calibri" w:hAnsi="Calibri"/>
        </w:rPr>
        <w:t xml:space="preserve">, e passou a ser usada na NFS-e com a reforma.</w:t>
      </w:r>
    </w:p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color w:val="D9622B"/>
          <w:spacing w:val="20"/>
          <w:sz w:val="17"/>
          <w:szCs w:val="17"/>
        </w:rPr>
        <w:t xml:space="preserve">POR QUE O NCM FICOU TÃO IMPORTANTE</w:t>
      </w:r>
    </w:p>
    <w:p>
      <w:pPr>
        <w:spacing w:after="120"/>
      </w:pPr>
      <w:r>
        <w:rPr>
          <w:rFonts w:ascii="Calibri" w:cs="Calibri" w:eastAsia="Calibri" w:hAnsi="Calibri"/>
        </w:rPr>
        <w:t xml:space="preserve">Antes, um NCM errado afetava principalmente IPI, ICMS-ST e algumas obrigações. </w:t>
      </w:r>
      <w:r>
        <w:rPr>
          <w:rFonts w:ascii="Calibri" w:cs="Calibri" w:eastAsia="Calibri" w:hAnsi="Calibri"/>
          <w:b/>
          <w:bCs/>
        </w:rPr>
        <w:t xml:space="preserve">Agora ele decide a alíquota do IBS/CBS</w:t>
      </w:r>
      <w:r>
        <w:rPr>
          <w:rFonts w:ascii="Calibri" w:cs="Calibri" w:eastAsia="Calibri" w:hAnsi="Calibri"/>
        </w:rPr>
        <w:t xml:space="preserve">: se o NCM está num anexo, o produto pode ter 60% de redução ou alíquota zero. NCM errado leva a cClassTrib errado, imposto errado, crédito errado do comprador e multa.</w:t>
      </w:r>
    </w:p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color w:val="D9622B"/>
          <w:spacing w:val="20"/>
          <w:sz w:val="17"/>
          <w:szCs w:val="17"/>
        </w:rPr>
        <w:t xml:space="preserve">QUEM É RESPONSÁVEL</w:t>
      </w:r>
    </w:p>
    <w:p>
      <w:pPr>
        <w:spacing w:after="120"/>
      </w:pPr>
      <w:r>
        <w:rPr>
          <w:rFonts w:ascii="Calibri" w:cs="Calibri" w:eastAsia="Calibri" w:hAnsi="Calibri"/>
        </w:rPr>
        <w:t xml:space="preserve">A classificação fiscal é responsabilidade do </w:t>
      </w:r>
      <w:r>
        <w:rPr>
          <w:rFonts w:ascii="Calibri" w:cs="Calibri" w:eastAsia="Calibri" w:hAnsi="Calibri"/>
          <w:b/>
          <w:bCs/>
        </w:rPr>
        <w:t xml:space="preserve">contribuinte</w:t>
      </w:r>
      <w:r>
        <w:rPr>
          <w:rFonts w:ascii="Calibri" w:cs="Calibri" w:eastAsia="Calibri" w:hAnsi="Calibri"/>
        </w:rPr>
        <w:t xml:space="preserve">. Ela segue as Regras Gerais de Interpretação do Sistema Harmonizado; em caso de dúvida, cabe Solução de Consulta à Receita. O escritório ajuda, e o app organiza, sugere e registra quem aprovou e com qual justificativa.</w:t>
      </w:r>
    </w:p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color w:val="D9622B"/>
          <w:spacing w:val="20"/>
          <w:sz w:val="17"/>
          <w:szCs w:val="17"/>
        </w:rPr>
        <w:t xml:space="preserve">ERROS COMUNS NO CADASTRO DE NCM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NCM </w:t>
      </w:r>
      <w:r>
        <w:rPr>
          <w:rFonts w:ascii="Calibri" w:cs="Calibri" w:eastAsia="Calibri" w:hAnsi="Calibri"/>
          <w:b/>
          <w:bCs/>
        </w:rPr>
        <w:t xml:space="preserve">genérico</w:t>
      </w:r>
      <w:r>
        <w:rPr>
          <w:rFonts w:ascii="Calibri" w:cs="Calibri" w:eastAsia="Calibri" w:hAnsi="Calibri"/>
        </w:rPr>
        <w:t xml:space="preserve"> (“outros”) quando existe um subitem específico, e o subitem específico às vezes é o que tem benefício.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Copiar o NCM do fornecedor</w:t>
      </w:r>
      <w:r>
        <w:rPr>
          <w:rFonts w:ascii="Calibri" w:cs="Calibri" w:eastAsia="Calibri" w:hAnsi="Calibri"/>
        </w:rPr>
        <w:t xml:space="preserve"> sem conferir. O fornecedor também erra, e o produto pode ter sido transformado.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NCM </w:t>
      </w:r>
      <w:r>
        <w:rPr>
          <w:rFonts w:ascii="Calibri" w:cs="Calibri" w:eastAsia="Calibri" w:hAnsi="Calibri"/>
          <w:b/>
          <w:bCs/>
        </w:rPr>
        <w:t xml:space="preserve">inexistente ou vencido</w:t>
      </w:r>
      <w:r>
        <w:rPr>
          <w:rFonts w:ascii="Calibri" w:cs="Calibri" w:eastAsia="Calibri" w:hAnsi="Calibri"/>
        </w:rPr>
        <w:t xml:space="preserve"> (a tabela muda por resoluções da Gecex), ou com menos de 8 dígitos.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Descrição </w:t>
      </w:r>
      <w:r>
        <w:rPr>
          <w:rFonts w:ascii="Calibri" w:cs="Calibri" w:eastAsia="Calibri" w:hAnsi="Calibri"/>
          <w:b/>
          <w:bCs/>
        </w:rPr>
        <w:t xml:space="preserve">vaga</w:t>
      </w:r>
      <w:r>
        <w:rPr>
          <w:rFonts w:ascii="Calibri" w:cs="Calibri" w:eastAsia="Calibri" w:hAnsi="Calibri"/>
        </w:rPr>
        <w:t xml:space="preserve"> (“kit”, “diversos”, “material”), que impede conferir o enquadramento nos anexos.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 </w:t>
      </w:r>
      <w:r>
        <w:rPr>
          <w:rFonts w:ascii="Calibri" w:cs="Calibri" w:eastAsia="Calibri" w:hAnsi="Calibri"/>
          <w:b/>
          <w:bCs/>
        </w:rPr>
        <w:t xml:space="preserve">mesmo produto com NCMs diferentes</w:t>
      </w:r>
      <w:r>
        <w:rPr>
          <w:rFonts w:ascii="Calibri" w:cs="Calibri" w:eastAsia="Calibri" w:hAnsi="Calibri"/>
        </w:rPr>
        <w:t xml:space="preserve"> em notas diferentes, ou o mesmo código interno usado para produtos diferentes.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Kits e conjuntos</w:t>
      </w:r>
      <w:r>
        <w:rPr>
          <w:rFonts w:ascii="Calibri" w:cs="Calibri" w:eastAsia="Calibri" w:hAnsi="Calibri"/>
        </w:rPr>
        <w:t xml:space="preserve"> com itens de tratamentos diferentes.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3.2 CFOP</w:t>
      </w:r>
    </w:p>
    <w:p>
      <w:pPr>
        <w:spacing w:after="120"/>
      </w:pPr>
      <w:r>
        <w:rPr>
          <w:rFonts w:ascii="Calibri" w:cs="Calibri" w:eastAsia="Calibri" w:hAnsi="Calibri"/>
        </w:rPr>
        <w:t xml:space="preserve">O </w:t>
      </w:r>
      <w:r>
        <w:rPr>
          <w:rFonts w:ascii="Calibri" w:cs="Calibri" w:eastAsia="Calibri" w:hAnsi="Calibri"/>
          <w:b/>
          <w:bCs/>
        </w:rPr>
        <w:t xml:space="preserve">CFOP</w:t>
      </w:r>
      <w:r>
        <w:rPr>
          <w:rFonts w:ascii="Calibri" w:cs="Calibri" w:eastAsia="Calibri" w:hAnsi="Calibri"/>
        </w:rPr>
        <w:t xml:space="preserve"> (Código Fiscal de Operações e Prestações) continua existindo e diz o tipo de operação. O primeiro dígito indica a direção e o alcance: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5</w:t>
      </w:r>
      <w:r>
        <w:rPr>
          <w:rFonts w:ascii="Calibri" w:cs="Calibri" w:eastAsia="Calibri" w:hAnsi="Calibri"/>
        </w:rPr>
        <w:t xml:space="preserve"> — saída dentro do estado;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6</w:t>
      </w:r>
      <w:r>
        <w:rPr>
          <w:rFonts w:ascii="Calibri" w:cs="Calibri" w:eastAsia="Calibri" w:hAnsi="Calibri"/>
        </w:rPr>
        <w:t xml:space="preserve"> — saída para outro estado;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7</w:t>
      </w:r>
      <w:r>
        <w:rPr>
          <w:rFonts w:ascii="Calibri" w:cs="Calibri" w:eastAsia="Calibri" w:hAnsi="Calibri"/>
        </w:rPr>
        <w:t xml:space="preserve"> — saída para o exterior;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1, 2 e 3</w:t>
      </w:r>
      <w:r>
        <w:rPr>
          <w:rFonts w:ascii="Calibri" w:cs="Calibri" w:eastAsia="Calibri" w:hAnsi="Calibri"/>
        </w:rPr>
        <w:t xml:space="preserve"> — as entradas equivalentes.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Exemplos: 5102 = venda de mercadoria comprada de terceiros; 1202 = devolução de venda. O CFOP ajuda o validador a entender a operação (venda, devolução, remessa, bonificação) e a conferir se a classificação do IBS/CBS combina com ela.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3.3 CST do IBS/CBS</w:t>
      </w:r>
    </w:p>
    <w:p>
      <w:pPr>
        <w:spacing w:after="120"/>
      </w:pPr>
      <w:r>
        <w:rPr>
          <w:rFonts w:ascii="Calibri" w:cs="Calibri" w:eastAsia="Calibri" w:hAnsi="Calibri"/>
        </w:rPr>
        <w:t xml:space="preserve">O </w:t>
      </w:r>
      <w:r>
        <w:rPr>
          <w:rFonts w:ascii="Calibri" w:cs="Calibri" w:eastAsia="Calibri" w:hAnsi="Calibri"/>
          <w:b/>
          <w:bCs/>
        </w:rPr>
        <w:t xml:space="preserve">CST</w:t>
      </w:r>
      <w:r>
        <w:rPr>
          <w:rFonts w:ascii="Calibri" w:cs="Calibri" w:eastAsia="Calibri" w:hAnsi="Calibri"/>
        </w:rPr>
        <w:t xml:space="preserve"> (Código de Situação Tributária) do IBS/CBS tem </w:t>
      </w:r>
      <w:r>
        <w:rPr>
          <w:rFonts w:ascii="Calibri" w:cs="Calibri" w:eastAsia="Calibri" w:hAnsi="Calibri"/>
          <w:b/>
          <w:bCs/>
        </w:rPr>
        <w:t xml:space="preserve">3 dígitos</w:t>
      </w:r>
      <w:r>
        <w:rPr>
          <w:rFonts w:ascii="Calibri" w:cs="Calibri" w:eastAsia="Calibri" w:hAnsi="Calibri"/>
        </w:rPr>
        <w:t xml:space="preserve"> e diz a “família” do tratamento. É diferente do CST do ICMS e do PIS/Cofins, que continuam na nota durante a transição.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00"/>
        <w:gridCol w:w="4338"/>
      </w:tblGrid>
      <w:tr>
        <w:trPr>
          <w:cantSplit/>
          <w:tblHeader/>
        </w:trPr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CST</w:t>
            </w:r>
          </w:p>
        </w:tc>
        <w:tc>
          <w:tcPr>
            <w:tcW w:type="dxa" w:w="4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Significado</w:t>
            </w:r>
          </w:p>
        </w:tc>
        <w:tc>
          <w:tcPr>
            <w:tcW w:type="dxa" w:w="43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Uso típico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000</w:t>
            </w:r>
          </w:p>
        </w:tc>
        <w:tc>
          <w:tcPr>
            <w:tcW w:type="dxa" w:w="4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Tributação integral</w:t>
            </w:r>
          </w:p>
        </w:tc>
        <w:tc>
          <w:tcPr>
            <w:tcW w:type="dxa" w:w="43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 maioria das vendas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010 / 011</w:t>
            </w:r>
          </w:p>
        </w:tc>
        <w:tc>
          <w:tcPr>
            <w:tcW w:type="dxa" w:w="4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Alíquotas uniformes (011: reduzidas)</w:t>
            </w:r>
          </w:p>
        </w:tc>
        <w:tc>
          <w:tcPr>
            <w:tcW w:type="dxa" w:w="43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Regimes específicos (ex.: setor financeiro)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200</w:t>
            </w:r>
          </w:p>
        </w:tc>
        <w:tc>
          <w:tcPr>
            <w:tcW w:type="dxa" w:w="4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Alíquota reduzida (inclui a alíquota zero)</w:t>
            </w:r>
          </w:p>
        </w:tc>
        <w:tc>
          <w:tcPr>
            <w:tcW w:type="dxa" w:w="43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Produtos e serviços dos anexos: 60%, 30%, zero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210 a 222</w:t>
            </w:r>
          </w:p>
        </w:tc>
        <w:tc>
          <w:tcPr>
            <w:tcW w:type="dxa" w:w="4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Variações de redução, alíquota fixa e redução de base</w:t>
            </w:r>
          </w:p>
        </w:tc>
        <w:tc>
          <w:tcPr>
            <w:tcW w:type="dxa" w:w="43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Regimes específicos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(conferir as descrições na tabela vigente)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400</w:t>
            </w:r>
          </w:p>
        </w:tc>
        <w:tc>
          <w:tcPr>
            <w:tcW w:type="dxa" w:w="4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Isenção</w:t>
            </w:r>
          </w:p>
        </w:tc>
        <w:tc>
          <w:tcPr>
            <w:tcW w:type="dxa" w:w="43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Hipóteses de isenção previstas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410</w:t>
            </w:r>
          </w:p>
        </w:tc>
        <w:tc>
          <w:tcPr>
            <w:tcW w:type="dxa" w:w="4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Imunidade e não incidência</w:t>
            </w:r>
          </w:p>
        </w:tc>
        <w:tc>
          <w:tcPr>
            <w:tcW w:type="dxa" w:w="43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Exportação, entidades imunes etc.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510 / 515</w:t>
            </w:r>
          </w:p>
        </w:tc>
        <w:tc>
          <w:tcPr>
            <w:tcW w:type="dxa" w:w="4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Diferimento (515: com redução)</w:t>
            </w:r>
          </w:p>
        </w:tc>
        <w:tc>
          <w:tcPr>
            <w:tcW w:type="dxa" w:w="43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Operações com imposto diferido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550</w:t>
            </w:r>
          </w:p>
        </w:tc>
        <w:tc>
          <w:tcPr>
            <w:tcW w:type="dxa" w:w="4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Suspensão</w:t>
            </w:r>
          </w:p>
        </w:tc>
        <w:tc>
          <w:tcPr>
            <w:tcW w:type="dxa" w:w="43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Regimes aduaneiros e similares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620</w:t>
            </w:r>
          </w:p>
        </w:tc>
        <w:tc>
          <w:tcPr>
            <w:tcW w:type="dxa" w:w="4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Tributação monofásica</w:t>
            </w:r>
          </w:p>
        </w:tc>
        <w:tc>
          <w:tcPr>
            <w:tcW w:type="dxa" w:w="43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Combustíveis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800</w:t>
            </w:r>
          </w:p>
        </w:tc>
        <w:tc>
          <w:tcPr>
            <w:tcW w:type="dxa" w:w="4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Transferência de crédito</w:t>
            </w:r>
          </w:p>
        </w:tc>
        <w:tc>
          <w:tcPr>
            <w:tcW w:type="dxa" w:w="43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Sucessão, cooperativas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810 / 811</w:t>
            </w:r>
          </w:p>
        </w:tc>
        <w:tc>
          <w:tcPr>
            <w:tcW w:type="dxa" w:w="4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Ajustes</w:t>
            </w:r>
          </w:p>
        </w:tc>
        <w:tc>
          <w:tcPr>
            <w:tcW w:type="dxa" w:w="43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ZFM e outros ajustes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820</w:t>
            </w:r>
          </w:p>
        </w:tc>
        <w:tc>
          <w:tcPr>
            <w:tcW w:type="dxa" w:w="4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Tributação em declaração de regime específico</w:t>
            </w:r>
          </w:p>
        </w:tc>
        <w:tc>
          <w:tcPr>
            <w:tcW w:type="dxa" w:w="43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Setores com declaração própria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830</w:t>
            </w:r>
          </w:p>
        </w:tc>
        <w:tc>
          <w:tcPr>
            <w:tcW w:type="dxa" w:w="4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Exclusão de base de cálculo</w:t>
            </w:r>
          </w:p>
        </w:tc>
        <w:tc>
          <w:tcPr>
            <w:tcW w:type="dxa" w:w="43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Hipóteses de exclusão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(conferir)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  <w:i/>
          <w:iCs/>
          <w:color w:val="5B6670"/>
        </w:rPr>
        <w:t xml:space="preserve">Lista resumida. As fontes divergem em alguns códigos e descrições; o sistema usa sempre a tabela oficial vigente (Informe Técnico 2025.002), versionada.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3.4 cClassTrib — a classificação tributária</w:t>
      </w:r>
    </w:p>
    <w:p>
      <w:pPr>
        <w:spacing w:after="120"/>
      </w:pPr>
      <w:r>
        <w:rPr>
          <w:rFonts w:ascii="Calibri" w:cs="Calibri" w:eastAsia="Calibri" w:hAnsi="Calibri"/>
        </w:rPr>
        <w:t xml:space="preserve">O </w:t>
      </w:r>
      <w:r>
        <w:rPr>
          <w:rFonts w:ascii="Calibri" w:cs="Calibri" w:eastAsia="Calibri" w:hAnsi="Calibri"/>
          <w:b/>
          <w:bCs/>
        </w:rPr>
        <w:t xml:space="preserve">cClassTrib</w:t>
      </w:r>
      <w:r>
        <w:rPr>
          <w:rFonts w:ascii="Calibri" w:cs="Calibri" w:eastAsia="Calibri" w:hAnsi="Calibri"/>
        </w:rPr>
        <w:t xml:space="preserve"> é o código de </w:t>
      </w:r>
      <w:r>
        <w:rPr>
          <w:rFonts w:ascii="Calibri" w:cs="Calibri" w:eastAsia="Calibri" w:hAnsi="Calibri"/>
          <w:b/>
          <w:bCs/>
        </w:rPr>
        <w:t xml:space="preserve">6 dígitos</w:t>
      </w:r>
      <w:r>
        <w:rPr>
          <w:rFonts w:ascii="Calibri" w:cs="Calibri" w:eastAsia="Calibri" w:hAnsi="Calibri"/>
        </w:rPr>
        <w:t xml:space="preserve"> que diz exatamente </w:t>
      </w:r>
      <w:r>
        <w:rPr>
          <w:rFonts w:ascii="Calibri" w:cs="Calibri" w:eastAsia="Calibri" w:hAnsi="Calibri"/>
          <w:b/>
          <w:bCs/>
        </w:rPr>
        <w:t xml:space="preserve">qual hipótese da lei</w:t>
      </w:r>
      <w:r>
        <w:rPr>
          <w:rFonts w:ascii="Calibri" w:cs="Calibri" w:eastAsia="Calibri" w:hAnsi="Calibri"/>
        </w:rPr>
        <w:t xml:space="preserve"> se aplica ao item. Os 3 primeiros dígitos são o CST, e os 3 últimos, a hipótese dentro dele. Exemplos: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000001</w:t>
      </w:r>
      <w:r>
        <w:rPr>
          <w:rFonts w:ascii="Calibri" w:cs="Calibri" w:eastAsia="Calibri" w:hAnsi="Calibri"/>
        </w:rPr>
        <w:t xml:space="preserve"> = CST 000 + situação tributada integralmente;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200003</w:t>
      </w:r>
      <w:r>
        <w:rPr>
          <w:rFonts w:ascii="Calibri" w:cs="Calibri" w:eastAsia="Calibri" w:hAnsi="Calibri"/>
        </w:rPr>
        <w:t xml:space="preserve"> = CST 200 + Cesta Básica Nacional (Anexo I, alíquota zero).</w:t>
      </w:r>
    </w:p>
    <w:p>
      <w:pPr>
        <w:spacing w:after="120"/>
      </w:pPr>
      <w:r>
        <w:rPr>
          <w:rFonts w:ascii="Calibri" w:cs="Calibri" w:eastAsia="Calibri" w:hAnsi="Calibri"/>
        </w:rPr>
        <w:t xml:space="preserve">A tabela oficial tem cerca de 160 a 170 códigos e muitas versões; a v1.60 é de 23/06/2026 e a v1.70 de 01/10/2026 </w:t>
      </w:r>
      <w:r>
        <w:rPr>
          <w:rFonts w:ascii="Calibri" w:cs="Calibri" w:eastAsia="Calibri" w:hAnsi="Calibri"/>
          <w:b/>
          <w:bCs/>
        </w:rPr>
        <w:t xml:space="preserve">(conferir)</w:t>
      </w:r>
      <w:r>
        <w:rPr>
          <w:rFonts w:ascii="Calibri" w:cs="Calibri" w:eastAsia="Calibri" w:hAnsi="Calibri"/>
        </w:rPr>
        <w:t xml:space="preserve">. Cada linha da tabela determina: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 </w:t>
      </w:r>
      <w:r>
        <w:rPr>
          <w:rFonts w:ascii="Calibri" w:cs="Calibri" w:eastAsia="Calibri" w:hAnsi="Calibri"/>
          <w:b/>
          <w:bCs/>
        </w:rPr>
        <w:t xml:space="preserve">descrição e o artigo</w:t>
      </w:r>
      <w:r>
        <w:rPr>
          <w:rFonts w:ascii="Calibri" w:cs="Calibri" w:eastAsia="Calibri" w:hAnsi="Calibri"/>
        </w:rPr>
        <w:t xml:space="preserve"> da LC 214 que fundamentam o código;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 </w:t>
      </w:r>
      <w:r>
        <w:rPr>
          <w:rFonts w:ascii="Calibri" w:cs="Calibri" w:eastAsia="Calibri" w:hAnsi="Calibri"/>
          <w:b/>
          <w:bCs/>
        </w:rPr>
        <w:t xml:space="preserve">percentual de redução</w:t>
      </w:r>
      <w:r>
        <w:rPr>
          <w:rFonts w:ascii="Calibri" w:cs="Calibri" w:eastAsia="Calibri" w:hAnsi="Calibri"/>
        </w:rPr>
        <w:t xml:space="preserve"> do IBS e da CBS (ex.: 60%, 100%);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quais </w:t>
      </w:r>
      <w:r>
        <w:rPr>
          <w:rFonts w:ascii="Calibri" w:cs="Calibri" w:eastAsia="Calibri" w:hAnsi="Calibri"/>
          <w:b/>
          <w:bCs/>
        </w:rPr>
        <w:t xml:space="preserve">grupos da nota</w:t>
      </w:r>
      <w:r>
        <w:rPr>
          <w:rFonts w:ascii="Calibri" w:cs="Calibri" w:eastAsia="Calibri" w:hAnsi="Calibri"/>
        </w:rPr>
        <w:t xml:space="preserve"> são obrigatórios, permitidos ou proibidos (redução, diferimento, crédito presumido, tributação regular…);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em quais </w:t>
      </w:r>
      <w:r>
        <w:rPr>
          <w:rFonts w:ascii="Calibri" w:cs="Calibri" w:eastAsia="Calibri" w:hAnsi="Calibri"/>
          <w:b/>
          <w:bCs/>
        </w:rPr>
        <w:t xml:space="preserve">documentos</w:t>
      </w:r>
      <w:r>
        <w:rPr>
          <w:rFonts w:ascii="Calibri" w:cs="Calibri" w:eastAsia="Calibri" w:hAnsi="Calibri"/>
        </w:rPr>
        <w:t xml:space="preserve"> pode ser usado (NF-e, NFC-e, NFS-e, CT-e…);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as </w:t>
      </w:r>
      <w:r>
        <w:rPr>
          <w:rFonts w:ascii="Calibri" w:cs="Calibri" w:eastAsia="Calibri" w:hAnsi="Calibri"/>
          <w:b/>
          <w:bCs/>
        </w:rPr>
        <w:t xml:space="preserve">datas de vigência</w:t>
      </w:r>
      <w:r>
        <w:rPr>
          <w:rFonts w:ascii="Calibri" w:cs="Calibri" w:eastAsia="Calibri" w:hAnsi="Calibri"/>
        </w:rPr>
        <w:t xml:space="preserve"> (início e fim).</w:t>
      </w:r>
    </w:p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color w:val="D9622B"/>
          <w:spacing w:val="20"/>
          <w:sz w:val="17"/>
          <w:szCs w:val="17"/>
        </w:rPr>
        <w:t xml:space="preserve">OS 18 CÓDIGOS DE REDUÇÃO E ALÍQUOTA ZERO QUE O ATHOSBI JÁ CONHECE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00"/>
        <w:gridCol w:w="3238"/>
        <w:gridCol w:w="1900"/>
        <w:gridCol w:w="2500"/>
      </w:tblGrid>
      <w:tr>
        <w:trPr>
          <w:cantSplit/>
          <w:tblHeader/>
        </w:trPr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cClassTrib</w:t>
            </w:r>
          </w:p>
        </w:tc>
        <w:tc>
          <w:tcPr>
            <w:tcW w:type="dxa" w:w="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Redução</w:t>
            </w:r>
          </w:p>
        </w:tc>
        <w:tc>
          <w:tcPr>
            <w:tcW w:type="dxa" w:w="3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Tratamento</w:t>
            </w:r>
          </w:p>
        </w:tc>
        <w:tc>
          <w:tcPr>
            <w:tcW w:type="dxa" w:w="1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Base legal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Condição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200003</w:t>
            </w:r>
          </w:p>
        </w:tc>
        <w:tc>
          <w:tcPr>
            <w:tcW w:type="dxa" w:w="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Zero</w:t>
            </w:r>
          </w:p>
        </w:tc>
        <w:tc>
          <w:tcPr>
            <w:tcW w:type="dxa" w:w="3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Cesta Básica Nacional de Alimentos</w:t>
            </w:r>
          </w:p>
        </w:tc>
        <w:tc>
          <w:tcPr>
            <w:tcW w:type="dxa" w:w="1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Anexo I, Art. 125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200004</w:t>
            </w:r>
          </w:p>
        </w:tc>
        <w:tc>
          <w:tcPr>
            <w:tcW w:type="dxa" w:w="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Zero</w:t>
            </w:r>
          </w:p>
        </w:tc>
        <w:tc>
          <w:tcPr>
            <w:tcW w:type="dxa" w:w="3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Dispositivos médicos</w:t>
            </w:r>
          </w:p>
        </w:tc>
        <w:tc>
          <w:tcPr>
            <w:tcW w:type="dxa" w:w="1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Anexo XII, Art. 144, I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200005</w:t>
            </w:r>
          </w:p>
        </w:tc>
        <w:tc>
          <w:tcPr>
            <w:tcW w:type="dxa" w:w="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Zero</w:t>
            </w:r>
          </w:p>
        </w:tc>
        <w:tc>
          <w:tcPr>
            <w:tcW w:type="dxa" w:w="3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Dispositivos médicos</w:t>
            </w:r>
          </w:p>
        </w:tc>
        <w:tc>
          <w:tcPr>
            <w:tcW w:type="dxa" w:w="1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Anexo IV, Art. 144, II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6"/>
                <w:szCs w:val="16"/>
              </w:rPr>
              <w:t xml:space="preserve">só na venda a órgão público (administração direta, autarquia, fundação) ou a entidade de saúde imune com CEBAS (SUS)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200007</w:t>
            </w:r>
          </w:p>
        </w:tc>
        <w:tc>
          <w:tcPr>
            <w:tcW w:type="dxa" w:w="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Zero</w:t>
            </w:r>
          </w:p>
        </w:tc>
        <w:tc>
          <w:tcPr>
            <w:tcW w:type="dxa" w:w="3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Dispositivos de acessibilidade para pessoas com deficiência</w:t>
            </w:r>
          </w:p>
        </w:tc>
        <w:tc>
          <w:tcPr>
            <w:tcW w:type="dxa" w:w="1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Anexo XIII, Art. 145, I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200008</w:t>
            </w:r>
          </w:p>
        </w:tc>
        <w:tc>
          <w:tcPr>
            <w:tcW w:type="dxa" w:w="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Zero</w:t>
            </w:r>
          </w:p>
        </w:tc>
        <w:tc>
          <w:tcPr>
            <w:tcW w:type="dxa" w:w="3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Dispositivos de acessibilidade para pessoas com deficiência</w:t>
            </w:r>
          </w:p>
        </w:tc>
        <w:tc>
          <w:tcPr>
            <w:tcW w:type="dxa" w:w="1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Anexo V, Art. 145, II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6"/>
                <w:szCs w:val="16"/>
              </w:rPr>
              <w:t xml:space="preserve">só na venda a órgão público ou a entidade de saúde imune com CEBAS (SUS)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200011</w:t>
            </w:r>
          </w:p>
        </w:tc>
        <w:tc>
          <w:tcPr>
            <w:tcW w:type="dxa" w:w="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Zero</w:t>
            </w:r>
          </w:p>
        </w:tc>
        <w:tc>
          <w:tcPr>
            <w:tcW w:type="dxa" w:w="3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Nutrição enteral e parenteral</w:t>
            </w:r>
          </w:p>
        </w:tc>
        <w:tc>
          <w:tcPr>
            <w:tcW w:type="dxa" w:w="1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Anexo VI, Art. 146, § 2º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6"/>
                <w:szCs w:val="16"/>
              </w:rPr>
              <w:t xml:space="preserve">só na venda a órgão público ou a entidade de saúde imune com CEBAS (SUS)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200014</w:t>
            </w:r>
          </w:p>
        </w:tc>
        <w:tc>
          <w:tcPr>
            <w:tcW w:type="dxa" w:w="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Zero</w:t>
            </w:r>
          </w:p>
        </w:tc>
        <w:tc>
          <w:tcPr>
            <w:tcW w:type="dxa" w:w="3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Produtos hortícolas, frutas e ovos</w:t>
            </w:r>
          </w:p>
        </w:tc>
        <w:tc>
          <w:tcPr>
            <w:tcW w:type="dxa" w:w="1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Anexo XV, Art. 148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200028</w:t>
            </w:r>
          </w:p>
        </w:tc>
        <w:tc>
          <w:tcPr>
            <w:tcW w:type="dxa" w:w="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60%</w:t>
            </w:r>
          </w:p>
        </w:tc>
        <w:tc>
          <w:tcPr>
            <w:tcW w:type="dxa" w:w="3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Serviços de educação</w:t>
            </w:r>
          </w:p>
        </w:tc>
        <w:tc>
          <w:tcPr>
            <w:tcW w:type="dxa" w:w="1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Anexo II, Art. 129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200029</w:t>
            </w:r>
          </w:p>
        </w:tc>
        <w:tc>
          <w:tcPr>
            <w:tcW w:type="dxa" w:w="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60%</w:t>
            </w:r>
          </w:p>
        </w:tc>
        <w:tc>
          <w:tcPr>
            <w:tcW w:type="dxa" w:w="3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Serviços de saúde humana</w:t>
            </w:r>
          </w:p>
        </w:tc>
        <w:tc>
          <w:tcPr>
            <w:tcW w:type="dxa" w:w="1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Anexo III, Art. 130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200030</w:t>
            </w:r>
          </w:p>
        </w:tc>
        <w:tc>
          <w:tcPr>
            <w:tcW w:type="dxa" w:w="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60%</w:t>
            </w:r>
          </w:p>
        </w:tc>
        <w:tc>
          <w:tcPr>
            <w:tcW w:type="dxa" w:w="3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Dispositivos médicos</w:t>
            </w:r>
          </w:p>
        </w:tc>
        <w:tc>
          <w:tcPr>
            <w:tcW w:type="dxa" w:w="1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Anexo IV, Art. 131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200031</w:t>
            </w:r>
          </w:p>
        </w:tc>
        <w:tc>
          <w:tcPr>
            <w:tcW w:type="dxa" w:w="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60%</w:t>
            </w:r>
          </w:p>
        </w:tc>
        <w:tc>
          <w:tcPr>
            <w:tcW w:type="dxa" w:w="3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Dispositivos de acessibilidade para pessoas com deficiência</w:t>
            </w:r>
          </w:p>
        </w:tc>
        <w:tc>
          <w:tcPr>
            <w:tcW w:type="dxa" w:w="1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Anexo V, Art. 132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200033</w:t>
            </w:r>
          </w:p>
        </w:tc>
        <w:tc>
          <w:tcPr>
            <w:tcW w:type="dxa" w:w="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60%</w:t>
            </w:r>
          </w:p>
        </w:tc>
        <w:tc>
          <w:tcPr>
            <w:tcW w:type="dxa" w:w="3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Nutrição enteral e parenteral</w:t>
            </w:r>
          </w:p>
        </w:tc>
        <w:tc>
          <w:tcPr>
            <w:tcW w:type="dxa" w:w="1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Anexo VI, Art. 133, § 1º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200034</w:t>
            </w:r>
          </w:p>
        </w:tc>
        <w:tc>
          <w:tcPr>
            <w:tcW w:type="dxa" w:w="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60%</w:t>
            </w:r>
          </w:p>
        </w:tc>
        <w:tc>
          <w:tcPr>
            <w:tcW w:type="dxa" w:w="3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Alimentos destinados ao consumo humano</w:t>
            </w:r>
          </w:p>
        </w:tc>
        <w:tc>
          <w:tcPr>
            <w:tcW w:type="dxa" w:w="1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Anexo VII, Art. 135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200035</w:t>
            </w:r>
          </w:p>
        </w:tc>
        <w:tc>
          <w:tcPr>
            <w:tcW w:type="dxa" w:w="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60%</w:t>
            </w:r>
          </w:p>
        </w:tc>
        <w:tc>
          <w:tcPr>
            <w:tcW w:type="dxa" w:w="3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Produtos de higiene pessoal e limpeza</w:t>
            </w:r>
          </w:p>
        </w:tc>
        <w:tc>
          <w:tcPr>
            <w:tcW w:type="dxa" w:w="1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Anexo VIII, Art. 136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200038</w:t>
            </w:r>
          </w:p>
        </w:tc>
        <w:tc>
          <w:tcPr>
            <w:tcW w:type="dxa" w:w="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60%</w:t>
            </w:r>
          </w:p>
        </w:tc>
        <w:tc>
          <w:tcPr>
            <w:tcW w:type="dxa" w:w="3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Insumos agropecuários e aquícolas</w:t>
            </w:r>
          </w:p>
        </w:tc>
        <w:tc>
          <w:tcPr>
            <w:tcW w:type="dxa" w:w="1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Anexo IX, Art. 138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200039</w:t>
            </w:r>
          </w:p>
        </w:tc>
        <w:tc>
          <w:tcPr>
            <w:tcW w:type="dxa" w:w="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60%</w:t>
            </w:r>
          </w:p>
        </w:tc>
        <w:tc>
          <w:tcPr>
            <w:tcW w:type="dxa" w:w="3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Produções artísticas, culturais, de eventos, jornalísticas e audiovisuais</w:t>
            </w:r>
          </w:p>
        </w:tc>
        <w:tc>
          <w:tcPr>
            <w:tcW w:type="dxa" w:w="1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Anexo X, Art. 139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6"/>
                <w:szCs w:val="16"/>
              </w:rPr>
              <w:t xml:space="preserve">só nas produções nacionais desses tipos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200043</w:t>
            </w:r>
          </w:p>
        </w:tc>
        <w:tc>
          <w:tcPr>
            <w:tcW w:type="dxa" w:w="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60%</w:t>
            </w:r>
          </w:p>
        </w:tc>
        <w:tc>
          <w:tcPr>
            <w:tcW w:type="dxa" w:w="3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Soberania e segurança nacional</w:t>
            </w:r>
          </w:p>
        </w:tc>
        <w:tc>
          <w:tcPr>
            <w:tcW w:type="dxa" w:w="1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Anexo XI, Art. 142, I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6"/>
                <w:szCs w:val="16"/>
              </w:rPr>
              <w:t xml:space="preserve">só na venda à administração pública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200044</w:t>
            </w:r>
          </w:p>
        </w:tc>
        <w:tc>
          <w:tcPr>
            <w:tcW w:type="dxa" w:w="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60%</w:t>
            </w:r>
          </w:p>
        </w:tc>
        <w:tc>
          <w:tcPr>
            <w:tcW w:type="dxa" w:w="3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Segurança da informação e cibernética</w:t>
            </w:r>
          </w:p>
        </w:tc>
        <w:tc>
          <w:tcPr>
            <w:tcW w:type="dxa" w:w="1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Anexo XI, Art. 142, II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6"/>
                <w:szCs w:val="16"/>
              </w:rPr>
              <w:t xml:space="preserve">só por sociedade com sócio brasileiro com pelo menos 20% do capital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D7A55" w:sz="24"/>
              <w:bottom w:val="none" w:color="FFFFFF" w:sz="0"/>
              <w:right w:val="none" w:color="FFFFFF" w:sz="0"/>
            </w:tcBorders>
            <w:shd w:fill="E6F4E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D7A55"/>
                <w:sz w:val="21"/>
                <w:szCs w:val="21"/>
              </w:rPr>
              <w:t xml:space="preserve">O que a SEFAZ confere — e o que ela não confere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</w:rPr>
              <w:t xml:space="preserve">Confere:</w:t>
            </w:r>
            <w:r>
              <w:rPr>
                <w:rFonts w:ascii="Calibri" w:cs="Calibri" w:eastAsia="Calibri" w:hAnsi="Calibri"/>
              </w:rPr>
              <w:t xml:space="preserve"> se o cClassTrib existe na tabela vigente; se é compatível com o CST; se pode ser usado naquele modelo de documento. Os erros correspondentes são as rejeições 1023, 1024 e 1025 </w:t>
            </w:r>
            <w:r>
              <w:rPr>
                <w:rFonts w:ascii="Calibri" w:cs="Calibri" w:eastAsia="Calibri" w:hAnsi="Calibri"/>
                <w:b/>
                <w:bCs/>
              </w:rPr>
              <w:t xml:space="preserve">(conferir os números na NT)</w:t>
            </w:r>
            <w:r>
              <w:rPr>
                <w:rFonts w:ascii="Calibri" w:cs="Calibri" w:eastAsia="Calibri" w:hAnsi="Calibri"/>
              </w:rPr>
              <w:t xml:space="preserve">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</w:rPr>
              <w:t xml:space="preserve">Não confere:</w:t>
            </w:r>
            <w:r>
              <w:rPr>
                <w:rFonts w:ascii="Calibri" w:cs="Calibri" w:eastAsia="Calibri" w:hAnsi="Calibri"/>
              </w:rPr>
              <w:t xml:space="preserve"> se aquele produto, naquela operação, para aquele comprador, </w:t>
            </w:r>
            <w:r>
              <w:rPr>
                <w:rFonts w:ascii="Calibri" w:cs="Calibri" w:eastAsia="Calibri" w:hAnsi="Calibri"/>
                <w:b/>
                <w:bCs/>
              </w:rPr>
              <w:t xml:space="preserve">merece</w:t>
            </w:r>
            <w:r>
              <w:rPr>
                <w:rFonts w:ascii="Calibri" w:cs="Calibri" w:eastAsia="Calibri" w:hAnsi="Calibri"/>
              </w:rPr>
              <w:t xml:space="preserve"> aquele cClassTrib. Uma seringa vendida a hospital privado com o código de alíquota zero do SUS (200005) passa na SEFAZ, mas está errada: o correto é 200030 (redução de 60%).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Esse buraco é o valor do nosso produto.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3.5 cCredPres — crédito presumido</w:t>
      </w:r>
    </w:p>
    <w:p>
      <w:pPr>
        <w:spacing w:after="120"/>
      </w:pPr>
      <w:r>
        <w:rPr>
          <w:rFonts w:ascii="Calibri" w:cs="Calibri" w:eastAsia="Calibri" w:hAnsi="Calibri"/>
        </w:rPr>
        <w:t xml:space="preserve">O </w:t>
      </w:r>
      <w:r>
        <w:rPr>
          <w:rFonts w:ascii="Calibri" w:cs="Calibri" w:eastAsia="Calibri" w:hAnsi="Calibri"/>
          <w:b/>
          <w:bCs/>
        </w:rPr>
        <w:t xml:space="preserve">cCredPres</w:t>
      </w:r>
      <w:r>
        <w:rPr>
          <w:rFonts w:ascii="Calibri" w:cs="Calibri" w:eastAsia="Calibri" w:hAnsi="Calibri"/>
        </w:rPr>
        <w:t xml:space="preserve"> é o código do </w:t>
      </w:r>
      <w:r>
        <w:rPr>
          <w:rFonts w:ascii="Calibri" w:cs="Calibri" w:eastAsia="Calibri" w:hAnsi="Calibri"/>
          <w:b/>
          <w:bCs/>
        </w:rPr>
        <w:t xml:space="preserve">crédito presumido</w:t>
      </w:r>
      <w:r>
        <w:rPr>
          <w:rFonts w:ascii="Calibri" w:cs="Calibri" w:eastAsia="Calibri" w:hAnsi="Calibri"/>
        </w:rPr>
        <w:t xml:space="preserve"> de IBS/CBS. É usado em casos como: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compra de produtor rural não contribuinte;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compra de resíduos e materiais recicláveis de pessoa física;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Zona Franca de Manaus.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A tabela oficial vem junto com a do cClassTrib. O validador confere se o crédito presumido só aparece quando previsto e se o código combina com a operação.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3.6 Os campos de IBS/CBS na NF-e</w:t>
      </w:r>
    </w:p>
    <w:p>
      <w:pPr>
        <w:spacing w:after="120"/>
      </w:pPr>
      <w:r>
        <w:rPr>
          <w:rFonts w:ascii="Calibri" w:cs="Calibri" w:eastAsia="Calibri" w:hAnsi="Calibri"/>
        </w:rPr>
        <w:t xml:space="preserve">Na NF-e e na NFC-e, cada item ganhou um grupo de IBS/CBS (grupo UB da NT 2025.002). Os principais campos e o que o validador faz com cada um: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838"/>
      </w:tblGrid>
      <w:tr>
        <w:trPr>
          <w:cantSplit/>
          <w:tblHeader/>
        </w:trPr>
        <w:tc>
          <w:tcPr>
            <w:tcW w:type="dxa" w:w="2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32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 que é</w:t>
            </w:r>
          </w:p>
        </w:tc>
        <w:tc>
          <w:tcPr>
            <w:tcW w:type="dxa" w:w="38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 que conferimos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CST</w:t>
            </w:r>
          </w:p>
        </w:tc>
        <w:tc>
          <w:tcPr>
            <w:tcW w:type="dxa" w:w="32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Situação tributária do IBS/CBS (3 dígitos)</w:t>
            </w:r>
          </w:p>
        </w:tc>
        <w:tc>
          <w:tcPr>
            <w:tcW w:type="dxa" w:w="38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Existe na tabela; combina com o cClassTrib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cClassTrib</w:t>
            </w:r>
          </w:p>
        </w:tc>
        <w:tc>
          <w:tcPr>
            <w:tcW w:type="dxa" w:w="32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Classificação tributária (6 dígitos)</w:t>
            </w:r>
          </w:p>
        </w:tc>
        <w:tc>
          <w:tcPr>
            <w:tcW w:type="dxa" w:w="38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Existe, está vigente, combina com o CST e o documento;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é o correto pela matriz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vBC</w:t>
            </w:r>
          </w:p>
        </w:tc>
        <w:tc>
          <w:tcPr>
            <w:tcW w:type="dxa" w:w="32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Base de cálculo</w:t>
            </w:r>
          </w:p>
        </w:tc>
        <w:tc>
          <w:tcPr>
            <w:tcW w:type="dxa" w:w="38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É o valor da operação pelas regras do art. 12 (ver 3.8)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pIBSUF / vIBSUF</w:t>
            </w:r>
          </w:p>
        </w:tc>
        <w:tc>
          <w:tcPr>
            <w:tcW w:type="dxa" w:w="32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Alíquota e valor do IBS estadual</w:t>
            </w:r>
          </w:p>
        </w:tc>
        <w:tc>
          <w:tcPr>
            <w:tcW w:type="dxa" w:w="38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Alíquota do ano; valor = base × alíquota efetiva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pIBSMun / vIBSMun</w:t>
            </w:r>
          </w:p>
        </w:tc>
        <w:tc>
          <w:tcPr>
            <w:tcW w:type="dxa" w:w="32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Alíquota e valor do IBS municipal</w:t>
            </w:r>
          </w:p>
        </w:tc>
        <w:tc>
          <w:tcPr>
            <w:tcW w:type="dxa" w:w="38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Idem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vIBS</w:t>
            </w:r>
          </w:p>
        </w:tc>
        <w:tc>
          <w:tcPr>
            <w:tcW w:type="dxa" w:w="32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Total do IBS do item</w:t>
            </w:r>
          </w:p>
        </w:tc>
        <w:tc>
          <w:tcPr>
            <w:tcW w:type="dxa" w:w="38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Soma estadual + municipal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pCBS / vCBS</w:t>
            </w:r>
          </w:p>
        </w:tc>
        <w:tc>
          <w:tcPr>
            <w:tcW w:type="dxa" w:w="32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Alíquota e valor da CBS</w:t>
            </w:r>
          </w:p>
        </w:tc>
        <w:tc>
          <w:tcPr>
            <w:tcW w:type="dxa" w:w="38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Alíquota do ano; valor = base × alíquota efetiva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gRed (pRedAliq, pAliqEfet)</w:t>
            </w:r>
          </w:p>
        </w:tc>
        <w:tc>
          <w:tcPr>
            <w:tcW w:type="dxa" w:w="32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Redução de alíquota</w:t>
            </w:r>
          </w:p>
        </w:tc>
        <w:tc>
          <w:tcPr>
            <w:tcW w:type="dxa" w:w="38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Percentual igual ao previsto para o cClassTrib; alíquota efetiva calculada certo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gDif</w:t>
            </w:r>
          </w:p>
        </w:tc>
        <w:tc>
          <w:tcPr>
            <w:tcW w:type="dxa" w:w="32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Diferimento</w:t>
            </w:r>
          </w:p>
        </w:tc>
        <w:tc>
          <w:tcPr>
            <w:tcW w:type="dxa" w:w="38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Só aparece com CST de diferimento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gDevTrib</w:t>
            </w:r>
          </w:p>
        </w:tc>
        <w:tc>
          <w:tcPr>
            <w:tcW w:type="dxa" w:w="32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Devolução de tributos (cashback)</w:t>
            </w:r>
          </w:p>
        </w:tc>
        <w:tc>
          <w:tcPr>
            <w:tcW w:type="dxa" w:w="38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Só quando aplicável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gCredPres</w:t>
            </w:r>
          </w:p>
        </w:tc>
        <w:tc>
          <w:tcPr>
            <w:tcW w:type="dxa" w:w="32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Crédito presumido (cCredPres, percentual, valor)</w:t>
            </w:r>
          </w:p>
        </w:tc>
        <w:tc>
          <w:tcPr>
            <w:tcW w:type="dxa" w:w="38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Só quando previsto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gTribRegular</w:t>
            </w:r>
          </w:p>
        </w:tc>
        <w:tc>
          <w:tcPr>
            <w:tcW w:type="dxa" w:w="32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Como seria a tributação regular</w:t>
            </w:r>
          </w:p>
        </w:tc>
        <w:tc>
          <w:tcPr>
            <w:tcW w:type="dxa" w:w="38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Exigido em algumas hipóteses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gTribCompraGov</w:t>
            </w:r>
          </w:p>
        </w:tc>
        <w:tc>
          <w:tcPr>
            <w:tcW w:type="dxa" w:w="32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Compras governamentais</w:t>
            </w:r>
          </w:p>
        </w:tc>
        <w:tc>
          <w:tcPr>
            <w:tcW w:type="dxa" w:w="38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Destinatário é ente público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IBSCBSTot</w:t>
            </w:r>
          </w:p>
        </w:tc>
        <w:tc>
          <w:tcPr>
            <w:tcW w:type="dxa" w:w="32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Totais da nota</w:t>
            </w:r>
          </w:p>
        </w:tc>
        <w:tc>
          <w:tcPr>
            <w:tcW w:type="dxa" w:w="38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Soma dos itens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finNFe, tpNFCredito, tpNFDebito, NFref</w:t>
            </w:r>
          </w:p>
        </w:tc>
        <w:tc>
          <w:tcPr>
            <w:tcW w:type="dxa" w:w="32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Finalidade, tipos de crédito/débito, nota referenciada</w:t>
            </w:r>
          </w:p>
        </w:tc>
        <w:tc>
          <w:tcPr>
            <w:tcW w:type="dxa" w:w="38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Coerência com a operação e referência à nota original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  <w:i/>
          <w:iCs/>
          <w:color w:val="5B6670"/>
        </w:rPr>
        <w:t xml:space="preserve">Os nomes dos campos seguem a NT 2025.002 e mudam entre versões. A implementação usa a versão vigente e guarda qual versão foi usada em cada conferência (conferir).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3.7 NFS-e nacional</w:t>
      </w:r>
    </w:p>
    <w:p>
      <w:pPr>
        <w:spacing w:after="120"/>
      </w:pPr>
      <w:r>
        <w:rPr>
          <w:rFonts w:ascii="Calibri" w:cs="Calibri" w:eastAsia="Calibri" w:hAnsi="Calibri"/>
        </w:rPr>
        <w:t xml:space="preserve">Os serviços usam a </w:t>
      </w:r>
      <w:r>
        <w:rPr>
          <w:rFonts w:ascii="Calibri" w:cs="Calibri" w:eastAsia="Calibri" w:hAnsi="Calibri"/>
          <w:b/>
          <w:bCs/>
        </w:rPr>
        <w:t xml:space="preserve">NFS-e nacional</w:t>
      </w:r>
      <w:r>
        <w:rPr>
          <w:rFonts w:ascii="Calibri" w:cs="Calibri" w:eastAsia="Calibri" w:hAnsi="Calibri"/>
        </w:rPr>
        <w:t xml:space="preserve"> (a DPS, declaração de prestação de serviço, vira NFS-e no Ambiente de Dados Nacional, o ADN). Com a reforma, ela ganhou o grupo IBSCBS, com CST, cClassTrib e valores, e dois elementos importantes: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cIndOp</w:t>
      </w:r>
      <w:r>
        <w:rPr>
          <w:rFonts w:ascii="Calibri" w:cs="Calibri" w:eastAsia="Calibri" w:hAnsi="Calibri"/>
        </w:rPr>
        <w:t xml:space="preserve"> — indicador da operação, 6 dígitos (Anexo VII). Define, entre outras coisas, o </w:t>
      </w:r>
      <w:r>
        <w:rPr>
          <w:rFonts w:ascii="Calibri" w:cs="Calibri" w:eastAsia="Calibri" w:hAnsi="Calibri"/>
          <w:b/>
          <w:bCs/>
        </w:rPr>
        <w:t xml:space="preserve">local da incidência</w:t>
      </w:r>
      <w:r>
        <w:rPr>
          <w:rFonts w:ascii="Calibri" w:cs="Calibri" w:eastAsia="Calibri" w:hAnsi="Calibri"/>
        </w:rPr>
        <w:t xml:space="preserve">: para qual município e estado vai o IBS.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Anexo VIII</w:t>
      </w:r>
      <w:r>
        <w:rPr>
          <w:rFonts w:ascii="Calibri" w:cs="Calibri" w:eastAsia="Calibri" w:hAnsi="Calibri"/>
        </w:rPr>
        <w:t xml:space="preserve"> — relaciona o item da lista de serviços × NBS × cClassTrib × cIndOp. Ou seja, </w:t>
      </w:r>
      <w:r>
        <w:rPr>
          <w:rFonts w:ascii="Calibri" w:cs="Calibri" w:eastAsia="Calibri" w:hAnsi="Calibri"/>
          <w:b/>
          <w:bCs/>
        </w:rPr>
        <w:t xml:space="preserve">o próprio governo publica uma “matriz” dos serviços</w:t>
      </w:r>
      <w:r>
        <w:rPr>
          <w:rFonts w:ascii="Calibri" w:cs="Calibri" w:eastAsia="Calibri" w:hAnsi="Calibri"/>
        </w:rPr>
        <w:t xml:space="preserve">, que o app usa como base.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O destaque na NFS-e é obrigatório desde 01/10/2026, sem rejeição por falta do grupo até 31/12/2026 </w:t>
      </w:r>
      <w:r>
        <w:rPr>
          <w:rFonts w:ascii="Calibri" w:cs="Calibri" w:eastAsia="Calibri" w:hAnsi="Calibri"/>
          <w:b/>
          <w:bCs/>
        </w:rPr>
        <w:t xml:space="preserve">(conferir)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3.8 Base de cálculo</w:t>
      </w:r>
    </w:p>
    <w:p>
      <w:pPr>
        <w:spacing w:after="120"/>
      </w:pPr>
      <w:r>
        <w:rPr>
          <w:rFonts w:ascii="Calibri" w:cs="Calibri" w:eastAsia="Calibri" w:hAnsi="Calibri"/>
        </w:rPr>
        <w:t xml:space="preserve">Pelo art. 12 da LC 214, a base é o </w:t>
      </w:r>
      <w:r>
        <w:rPr>
          <w:rFonts w:ascii="Calibri" w:cs="Calibri" w:eastAsia="Calibri" w:hAnsi="Calibri"/>
          <w:b/>
          <w:bCs/>
        </w:rPr>
        <w:t xml:space="preserve">valor da operação</w:t>
      </w:r>
      <w:r>
        <w:rPr>
          <w:rFonts w:ascii="Calibri" w:cs="Calibri" w:eastAsia="Calibri" w:hAnsi="Calibri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Entram:</w:t>
      </w:r>
      <w:r>
        <w:rPr>
          <w:rFonts w:ascii="Calibri" w:cs="Calibri" w:eastAsia="Calibri" w:hAnsi="Calibri"/>
        </w:rPr>
        <w:t xml:space="preserve"> o preço, o frete, o seguro, os juros, as multas, os encargos e outras despesas cobradas do comprador.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Não entram:</w:t>
      </w:r>
      <w:r>
        <w:rPr>
          <w:rFonts w:ascii="Calibri" w:cs="Calibri" w:eastAsia="Calibri" w:hAnsi="Calibri"/>
        </w:rPr>
        <w:t xml:space="preserve"> o próprio IBS e a CBS; o IPI; os </w:t>
      </w:r>
      <w:r>
        <w:rPr>
          <w:rFonts w:ascii="Calibri" w:cs="Calibri" w:eastAsia="Calibri" w:hAnsi="Calibri"/>
          <w:b/>
          <w:bCs/>
        </w:rPr>
        <w:t xml:space="preserve">descontos incondicionais</w:t>
      </w:r>
      <w:r>
        <w:rPr>
          <w:rFonts w:ascii="Calibri" w:cs="Calibri" w:eastAsia="Calibri" w:hAnsi="Calibri"/>
        </w:rPr>
        <w:t xml:space="preserve">, que precisam constar na nota.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Desconto condicional</w:t>
      </w:r>
      <w:r>
        <w:rPr>
          <w:rFonts w:ascii="Calibri" w:cs="Calibri" w:eastAsia="Calibri" w:hAnsi="Calibri"/>
        </w:rPr>
        <w:t xml:space="preserve"> (que depende de evento futuro, como pagar em dia) </w:t>
      </w:r>
      <w:r>
        <w:rPr>
          <w:rFonts w:ascii="Calibri" w:cs="Calibri" w:eastAsia="Calibri" w:hAnsi="Calibri"/>
          <w:b/>
          <w:bCs/>
        </w:rPr>
        <w:t xml:space="preserve">continua na base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ICMS, ISS, PIS e Cofins durante a transição:</w:t>
      </w:r>
      <w:r>
        <w:rPr>
          <w:rFonts w:ascii="Calibri" w:cs="Calibri" w:eastAsia="Calibri" w:hAnsi="Calibri"/>
        </w:rPr>
        <w:t xml:space="preserve"> as fontes divergem sobre a exclusão em cada ano, e a NT traz uma fórmula própria de validação </w:t>
      </w:r>
      <w:r>
        <w:rPr>
          <w:rFonts w:ascii="Calibri" w:cs="Calibri" w:eastAsia="Calibri" w:hAnsi="Calibri"/>
          <w:b/>
          <w:bCs/>
        </w:rPr>
        <w:t xml:space="preserve">(conferir)</w:t>
      </w:r>
      <w:r>
        <w:rPr>
          <w:rFonts w:ascii="Calibri" w:cs="Calibri" w:eastAsia="Calibri" w:hAnsi="Calibri"/>
        </w:rPr>
        <w:t xml:space="preserve">. No app, isso fica como </w:t>
      </w:r>
      <w:r>
        <w:rPr>
          <w:rFonts w:ascii="Calibri" w:cs="Calibri" w:eastAsia="Calibri" w:hAnsi="Calibri"/>
          <w:b/>
          <w:bCs/>
        </w:rPr>
        <w:t xml:space="preserve">parâmetro por ano</w:t>
      </w:r>
      <w:r>
        <w:rPr>
          <w:rFonts w:ascii="Calibri" w:cs="Calibri" w:eastAsia="Calibri" w:hAnsi="Calibri"/>
        </w:rPr>
        <w:t xml:space="preserve">, definido pelo escritório.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3.9 Como calcular — exemplos</w:t>
      </w:r>
    </w:p>
    <w:p>
      <w:pPr>
        <w:spacing w:after="120"/>
      </w:pPr>
      <w:r>
        <w:rPr>
          <w:rFonts w:ascii="Calibri" w:cs="Calibri" w:eastAsia="Calibri" w:hAnsi="Calibri"/>
        </w:rPr>
        <w:t xml:space="preserve">A fórmula do item: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alíquota efetiva</w:t>
      </w:r>
      <w:r>
        <w:rPr>
          <w:rFonts w:ascii="Calibri" w:cs="Calibri" w:eastAsia="Calibri" w:hAnsi="Calibri"/>
        </w:rPr>
        <w:t xml:space="preserve"> = alíquota × (1 − redução);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valor</w:t>
      </w:r>
      <w:r>
        <w:rPr>
          <w:rFonts w:ascii="Calibri" w:cs="Calibri" w:eastAsia="Calibri" w:hAnsi="Calibri"/>
        </w:rPr>
        <w:t xml:space="preserve"> = base × alíquota efetiva, com arredondamento em 2 casas.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Exemplos com base de R$ 10.000,00: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800"/>
        <w:gridCol w:w="2038"/>
        <w:gridCol w:w="1400"/>
      </w:tblGrid>
      <w:tr>
        <w:trPr>
          <w:cantSplit/>
          <w:tblHeader/>
        </w:trPr>
        <w:tc>
          <w:tcPr>
            <w:tcW w:type="dxa" w:w="2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Cenário</w:t>
            </w:r>
          </w:p>
        </w:tc>
        <w:tc>
          <w:tcPr>
            <w:tcW w:type="dxa" w:w="1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Classificação</w:t>
            </w:r>
          </w:p>
        </w:tc>
        <w:tc>
          <w:tcPr>
            <w:tcW w:type="dxa" w:w="1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CBS</w:t>
            </w:r>
          </w:p>
        </w:tc>
        <w:tc>
          <w:tcPr>
            <w:tcW w:type="dxa" w:w="20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IBS (UF + Mun)</w:t>
            </w:r>
          </w:p>
        </w:tc>
        <w:tc>
          <w:tcPr>
            <w:tcW w:type="dxa" w:w="1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Total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2026 — tributação integral</w:t>
            </w:r>
          </w:p>
        </w:tc>
        <w:tc>
          <w:tcPr>
            <w:tcW w:type="dxa" w:w="1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CST 000 / 000001</w:t>
            </w:r>
          </w:p>
        </w:tc>
        <w:tc>
          <w:tcPr>
            <w:tcW w:type="dxa" w:w="1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0,9% → R$ 90,00</w:t>
            </w:r>
          </w:p>
        </w:tc>
        <w:tc>
          <w:tcPr>
            <w:tcW w:type="dxa" w:w="20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0,1% + 0% → R$ 10,00</w:t>
            </w:r>
          </w:p>
        </w:tc>
        <w:tc>
          <w:tcPr>
            <w:tcW w:type="dxa" w:w="1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R$ 100,00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2026 — redução de 60%</w:t>
            </w:r>
          </w:p>
        </w:tc>
        <w:tc>
          <w:tcPr>
            <w:tcW w:type="dxa" w:w="1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CST 200 / 200030</w:t>
            </w:r>
          </w:p>
        </w:tc>
        <w:tc>
          <w:tcPr>
            <w:tcW w:type="dxa" w:w="1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0,36% → R$ 36,00</w:t>
            </w:r>
          </w:p>
        </w:tc>
        <w:tc>
          <w:tcPr>
            <w:tcW w:type="dxa" w:w="20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0,04% → R$ 4,00</w:t>
            </w:r>
          </w:p>
        </w:tc>
        <w:tc>
          <w:tcPr>
            <w:tcW w:type="dxa" w:w="1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R$ 40,00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2026 — alíquota zero</w:t>
            </w:r>
          </w:p>
        </w:tc>
        <w:tc>
          <w:tcPr>
            <w:tcW w:type="dxa" w:w="1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CST 200 / 200003</w:t>
            </w:r>
          </w:p>
        </w:tc>
        <w:tc>
          <w:tcPr>
            <w:tcW w:type="dxa" w:w="1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R$ 0,00</w:t>
            </w:r>
          </w:p>
        </w:tc>
        <w:tc>
          <w:tcPr>
            <w:tcW w:type="dxa" w:w="20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R$ 0,00</w:t>
            </w:r>
          </w:p>
        </w:tc>
        <w:tc>
          <w:tcPr>
            <w:tcW w:type="dxa" w:w="1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R$ 0,00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2027 (CBS ilustrativa de 9%) — integral</w:t>
            </w:r>
          </w:p>
        </w:tc>
        <w:tc>
          <w:tcPr>
            <w:tcW w:type="dxa" w:w="1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CST 000 / 000001</w:t>
            </w:r>
          </w:p>
        </w:tc>
        <w:tc>
          <w:tcPr>
            <w:tcW w:type="dxa" w:w="1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9,0% → R$ 900,00</w:t>
            </w:r>
          </w:p>
        </w:tc>
        <w:tc>
          <w:tcPr>
            <w:tcW w:type="dxa" w:w="20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0,05% + 0,05% → R$ 10,00</w:t>
            </w:r>
          </w:p>
        </w:tc>
        <w:tc>
          <w:tcPr>
            <w:tcW w:type="dxa" w:w="1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R$ 910,00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2027 (CBS ilustrativa de 9%) — 60%</w:t>
            </w:r>
          </w:p>
        </w:tc>
        <w:tc>
          <w:tcPr>
            <w:tcW w:type="dxa" w:w="1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CST 200 / 200030</w:t>
            </w:r>
          </w:p>
        </w:tc>
        <w:tc>
          <w:tcPr>
            <w:tcW w:type="dxa" w:w="1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3,6% → R$ 360,00</w:t>
            </w:r>
          </w:p>
        </w:tc>
        <w:tc>
          <w:tcPr>
            <w:tcW w:type="dxa" w:w="20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0,02% + 0,02% → R$ 4,00</w:t>
            </w:r>
          </w:p>
        </w:tc>
        <w:tc>
          <w:tcPr>
            <w:tcW w:type="dxa" w:w="1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R$ 364,00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  <w:i/>
          <w:iCs/>
          <w:color w:val="5B6670"/>
        </w:rPr>
        <w:t xml:space="preserve">Em 2026 o IBS de teste é de 0,1%, estadual, e o municipal fica zerado (conferir). A CBS de 2027 depende da alíquota de referência ainda não publicada; o 9% é só para ilustrar.</w:t>
      </w:r>
    </w:p>
    <w:p>
      <w:pPr>
        <w:spacing w:after="120"/>
      </w:pPr>
      <w:r>
        <w:rPr>
          <w:rFonts w:ascii="Calibri" w:cs="Calibri" w:eastAsia="Calibri" w:hAnsi="Calibri"/>
        </w:rPr>
        <w:t xml:space="preserve">Leitura do exemplo: em 2027, </w:t>
      </w:r>
      <w:r>
        <w:rPr>
          <w:rFonts w:ascii="Calibri" w:cs="Calibri" w:eastAsia="Calibri" w:hAnsi="Calibri"/>
          <w:b/>
          <w:bCs/>
        </w:rPr>
        <w:t xml:space="preserve">classificar uma seringa como 200005 (zero) em vez de 200030 (60%)</w:t>
      </w:r>
      <w:r>
        <w:rPr>
          <w:rFonts w:ascii="Calibri" w:cs="Calibri" w:eastAsia="Calibri" w:hAnsi="Calibri"/>
        </w:rPr>
        <w:t xml:space="preserve"> para um hospital privado deixa de destacar cerca de </w:t>
      </w:r>
      <w:r>
        <w:rPr>
          <w:rFonts w:ascii="Calibri" w:cs="Calibri" w:eastAsia="Calibri" w:hAnsi="Calibri"/>
          <w:b/>
          <w:bCs/>
        </w:rPr>
        <w:t xml:space="preserve">R$ 364 a cada R$ 10 mil</w:t>
      </w:r>
      <w:r>
        <w:rPr>
          <w:rFonts w:ascii="Calibri" w:cs="Calibri" w:eastAsia="Calibri" w:hAnsi="Calibri"/>
        </w:rPr>
        <w:t xml:space="preserve"> vendidos. Somando todas as notas do mês, isso vira autuação com multa.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3.10 Matriz fiscal</w:t>
      </w:r>
    </w:p>
    <w:p>
      <w:pPr>
        <w:spacing w:after="120"/>
      </w:pPr>
      <w:r>
        <w:rPr>
          <w:rFonts w:ascii="Calibri" w:cs="Calibri" w:eastAsia="Calibri" w:hAnsi="Calibri"/>
        </w:rPr>
        <w:t xml:space="preserve">A </w:t>
      </w:r>
      <w:r>
        <w:rPr>
          <w:rFonts w:ascii="Calibri" w:cs="Calibri" w:eastAsia="Calibri" w:hAnsi="Calibri"/>
          <w:b/>
          <w:bCs/>
        </w:rPr>
        <w:t xml:space="preserve">matriz fiscal</w:t>
      </w:r>
      <w:r>
        <w:rPr>
          <w:rFonts w:ascii="Calibri" w:cs="Calibri" w:eastAsia="Calibri" w:hAnsi="Calibri"/>
        </w:rPr>
        <w:t xml:space="preserve"> é o “gabarito” fiscal da empresa. É uma tabela de regras que diz, para cada combinação 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o quê</w:t>
      </w:r>
      <w:r>
        <w:rPr>
          <w:rFonts w:ascii="Calibri" w:cs="Calibri" w:eastAsia="Calibri" w:hAnsi="Calibri"/>
        </w:rPr>
        <w:t xml:space="preserve"> — produto ou serviço, pelo NCM/NBS e pela descrição;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qual operação</w:t>
      </w:r>
      <w:r>
        <w:rPr>
          <w:rFonts w:ascii="Calibri" w:cs="Calibri" w:eastAsia="Calibri" w:hAnsi="Calibri"/>
        </w:rPr>
        <w:t xml:space="preserve"> — venda, devolução, bonificação, remessa, transferência…;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para quem</w:t>
      </w:r>
      <w:r>
        <w:rPr>
          <w:rFonts w:ascii="Calibri" w:cs="Calibri" w:eastAsia="Calibri" w:hAnsi="Calibri"/>
        </w:rPr>
        <w:t xml:space="preserve"> — empresa do regime regular, Simples, consumidor final, órgão público, entidade imune/SUS, exterior;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de onde para onde</w:t>
      </w:r>
      <w:r>
        <w:rPr>
          <w:rFonts w:ascii="Calibri" w:cs="Calibri" w:eastAsia="Calibri" w:hAnsi="Calibri"/>
        </w:rPr>
        <w:t xml:space="preserve"> — dentro do estado, para outro estado, exterior;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quando</w:t>
      </w:r>
      <w:r>
        <w:rPr>
          <w:rFonts w:ascii="Calibri" w:cs="Calibri" w:eastAsia="Calibri" w:hAnsi="Calibri"/>
        </w:rPr>
        <w:t xml:space="preserve"> — a regra vale a partir de uma data e pode mudar ano a ano na transição;</w:t>
      </w:r>
    </w:p>
    <w:p>
      <w:pPr>
        <w:spacing w:after="120"/>
      </w:pPr>
      <w:r>
        <w:rPr>
          <w:rFonts w:ascii="Calibri" w:cs="Calibri" w:eastAsia="Calibri" w:hAnsi="Calibri"/>
        </w:rPr>
        <w:t xml:space="preserve">…qual deve ser o resultado na nota: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CFOP;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CST e cClassTrib do IBS/CBS;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redução e crédito presumido;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os tributos antigos durante a transição (ICMS, PIS/Cofins, IPI);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as observações obrigatórias.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Exemplo de matriz de uma empresa fictícia, a Distribuidora Exemplo (São Paulo, Lucro Presumido):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1500"/>
        <w:gridCol w:w="1000"/>
        <w:gridCol w:w="700"/>
        <w:gridCol w:w="1000"/>
        <w:gridCol w:w="838"/>
        <w:gridCol w:w="2000"/>
      </w:tblGrid>
      <w:tr>
        <w:trPr>
          <w:cantSplit/>
          <w:tblHeader/>
        </w:trPr>
        <w:tc>
          <w:tcPr>
            <w:tcW w:type="dxa" w:w="17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Produto (NCM)</w:t>
            </w:r>
          </w:p>
        </w:tc>
        <w:tc>
          <w:tcPr>
            <w:tcW w:type="dxa" w:w="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Operação</w:t>
            </w:r>
          </w:p>
        </w:tc>
        <w:tc>
          <w:tcPr>
            <w:tcW w:type="dxa" w:w="1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Destinatário</w:t>
            </w:r>
          </w:p>
        </w:tc>
        <w:tc>
          <w:tcPr>
            <w:tcW w:type="dxa" w:w="1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CFOP</w:t>
            </w:r>
          </w:p>
        </w:tc>
        <w:tc>
          <w:tcPr>
            <w:tcW w:type="dxa" w:w="7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CST</w:t>
            </w:r>
          </w:p>
        </w:tc>
        <w:tc>
          <w:tcPr>
            <w:tcW w:type="dxa" w:w="1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cClassTrib</w:t>
            </w:r>
          </w:p>
        </w:tc>
        <w:tc>
          <w:tcPr>
            <w:tcW w:type="dxa" w:w="8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Redução</w:t>
            </w:r>
          </w:p>
        </w:tc>
        <w:tc>
          <w:tcPr>
            <w:tcW w:type="dxa" w:w="2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Observação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Arroz 5 kg (1006.30.21)</w:t>
            </w:r>
          </w:p>
        </w:tc>
        <w:tc>
          <w:tcPr>
            <w:tcW w:type="dxa" w:w="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Venda</w:t>
            </w:r>
          </w:p>
        </w:tc>
        <w:tc>
          <w:tcPr>
            <w:tcW w:type="dxa" w:w="1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Qualquer</w:t>
            </w:r>
          </w:p>
        </w:tc>
        <w:tc>
          <w:tcPr>
            <w:tcW w:type="dxa" w:w="1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5102 / 6102</w:t>
            </w:r>
          </w:p>
        </w:tc>
        <w:tc>
          <w:tcPr>
            <w:tcW w:type="dxa" w:w="7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200</w:t>
            </w:r>
          </w:p>
        </w:tc>
        <w:tc>
          <w:tcPr>
            <w:tcW w:type="dxa" w:w="1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200003</w:t>
            </w:r>
          </w:p>
        </w:tc>
        <w:tc>
          <w:tcPr>
            <w:tcW w:type="dxa" w:w="8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Zero</w:t>
            </w:r>
          </w:p>
        </w:tc>
        <w:tc>
          <w:tcPr>
            <w:tcW w:type="dxa" w:w="2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Cesta Básica — Anexo I, item 1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Sabonete 90 g (3401.11.90)</w:t>
            </w:r>
          </w:p>
        </w:tc>
        <w:tc>
          <w:tcPr>
            <w:tcW w:type="dxa" w:w="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Venda</w:t>
            </w:r>
          </w:p>
        </w:tc>
        <w:tc>
          <w:tcPr>
            <w:tcW w:type="dxa" w:w="1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Qualquer</w:t>
            </w:r>
          </w:p>
        </w:tc>
        <w:tc>
          <w:tcPr>
            <w:tcW w:type="dxa" w:w="1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5102 / 6102</w:t>
            </w:r>
          </w:p>
        </w:tc>
        <w:tc>
          <w:tcPr>
            <w:tcW w:type="dxa" w:w="7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200</w:t>
            </w:r>
          </w:p>
        </w:tc>
        <w:tc>
          <w:tcPr>
            <w:tcW w:type="dxa" w:w="1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200035</w:t>
            </w:r>
          </w:p>
        </w:tc>
        <w:tc>
          <w:tcPr>
            <w:tcW w:type="dxa" w:w="8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60%</w:t>
            </w:r>
          </w:p>
        </w:tc>
        <w:tc>
          <w:tcPr>
            <w:tcW w:type="dxa" w:w="2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Higiene — Anexo VIII, item 1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Seringa com agulha (9018.31.19)</w:t>
            </w:r>
          </w:p>
        </w:tc>
        <w:tc>
          <w:tcPr>
            <w:tcW w:type="dxa" w:w="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Venda</w:t>
            </w:r>
          </w:p>
        </w:tc>
        <w:tc>
          <w:tcPr>
            <w:tcW w:type="dxa" w:w="1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Empresa ou consumidor</w:t>
            </w:r>
          </w:p>
        </w:tc>
        <w:tc>
          <w:tcPr>
            <w:tcW w:type="dxa" w:w="1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5102 / 6102</w:t>
            </w:r>
          </w:p>
        </w:tc>
        <w:tc>
          <w:tcPr>
            <w:tcW w:type="dxa" w:w="7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200</w:t>
            </w:r>
          </w:p>
        </w:tc>
        <w:tc>
          <w:tcPr>
            <w:tcW w:type="dxa" w:w="1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200030</w:t>
            </w:r>
          </w:p>
        </w:tc>
        <w:tc>
          <w:tcPr>
            <w:tcW w:type="dxa" w:w="8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60%</w:t>
            </w:r>
          </w:p>
        </w:tc>
        <w:tc>
          <w:tcPr>
            <w:tcW w:type="dxa" w:w="2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Dispositivo médico — Anexo IV, item 59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Seringa com agulha (9018.31.19)</w:t>
            </w:r>
          </w:p>
        </w:tc>
        <w:tc>
          <w:tcPr>
            <w:tcW w:type="dxa" w:w="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Venda</w:t>
            </w:r>
          </w:p>
        </w:tc>
        <w:tc>
          <w:tcPr>
            <w:tcW w:type="dxa" w:w="1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5"/>
                <w:szCs w:val="15"/>
              </w:rPr>
              <w:t xml:space="preserve">Órgão público ou entidade SUS com CEBAS</w:t>
            </w:r>
          </w:p>
        </w:tc>
        <w:tc>
          <w:tcPr>
            <w:tcW w:type="dxa" w:w="1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5102 / 6102</w:t>
            </w:r>
          </w:p>
        </w:tc>
        <w:tc>
          <w:tcPr>
            <w:tcW w:type="dxa" w:w="7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200</w:t>
            </w:r>
          </w:p>
        </w:tc>
        <w:tc>
          <w:tcPr>
            <w:tcW w:type="dxa" w:w="1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200005</w:t>
            </w:r>
          </w:p>
        </w:tc>
        <w:tc>
          <w:tcPr>
            <w:tcW w:type="dxa" w:w="8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Zero</w:t>
            </w:r>
          </w:p>
        </w:tc>
        <w:tc>
          <w:tcPr>
            <w:tcW w:type="dxa" w:w="2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Art. 144, II — exige comprovar o perfil do comprador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Notebook (8471.30.12)</w:t>
            </w:r>
          </w:p>
        </w:tc>
        <w:tc>
          <w:tcPr>
            <w:tcW w:type="dxa" w:w="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Venda</w:t>
            </w:r>
          </w:p>
        </w:tc>
        <w:tc>
          <w:tcPr>
            <w:tcW w:type="dxa" w:w="1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Qualquer</w:t>
            </w:r>
          </w:p>
        </w:tc>
        <w:tc>
          <w:tcPr>
            <w:tcW w:type="dxa" w:w="1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5102 / 6102</w:t>
            </w:r>
          </w:p>
        </w:tc>
        <w:tc>
          <w:tcPr>
            <w:tcW w:type="dxa" w:w="7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000</w:t>
            </w:r>
          </w:p>
        </w:tc>
        <w:tc>
          <w:tcPr>
            <w:tcW w:type="dxa" w:w="1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000001</w:t>
            </w:r>
          </w:p>
        </w:tc>
        <w:tc>
          <w:tcPr>
            <w:tcW w:type="dxa" w:w="8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2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Sem benefício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Qualquer item</w:t>
            </w:r>
          </w:p>
        </w:tc>
        <w:tc>
          <w:tcPr>
            <w:tcW w:type="dxa" w:w="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Devolução de venda</w:t>
            </w:r>
          </w:p>
        </w:tc>
        <w:tc>
          <w:tcPr>
            <w:tcW w:type="dxa" w:w="1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1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1202 / 2202</w:t>
            </w:r>
          </w:p>
        </w:tc>
        <w:tc>
          <w:tcPr>
            <w:tcW w:type="dxa" w:w="7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Igual à original</w:t>
            </w:r>
          </w:p>
        </w:tc>
        <w:tc>
          <w:tcPr>
            <w:tcW w:type="dxa" w:w="1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Igual à original</w:t>
            </w:r>
          </w:p>
        </w:tc>
        <w:tc>
          <w:tcPr>
            <w:tcW w:type="dxa" w:w="8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Igual</w:t>
            </w:r>
          </w:p>
        </w:tc>
        <w:tc>
          <w:tcPr>
            <w:tcW w:type="dxa" w:w="2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Alíquotas da operação original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  <w:i/>
          <w:iCs/>
          <w:color w:val="5B6670"/>
        </w:rPr>
        <w:t xml:space="preserve">Enquadramentos dos anexos conferidos com a base da Calculadora da Receita que o AthosBI usa. Os NCMs de 8 dígitos são exemplos ilustrativos.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Quem monta a matriz:</w:t>
      </w:r>
      <w:r>
        <w:rPr>
          <w:rFonts w:ascii="Calibri" w:cs="Calibri" w:eastAsia="Calibri" w:hAnsi="Calibri"/>
        </w:rPr>
        <w:t xml:space="preserve"> o escritório, com a ajuda do app. O app sugere a regra a partir do NCM e do questionário de operações, e o escritório revisa e aprova. </w:t>
      </w:r>
      <w:r>
        <w:rPr>
          <w:rFonts w:ascii="Calibri" w:cs="Calibri" w:eastAsia="Calibri" w:hAnsi="Calibri"/>
          <w:b/>
          <w:bCs/>
        </w:rPr>
        <w:t xml:space="preserve">A matriz aprovada vira três coisas: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 regra que o validador usa para conferir as notas;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 tabela de parametrização para o ERP do cliente;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 “manual de emissão” do pessoal do faturamento.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4. Onde os erros nascem</w:t>
      </w:r>
    </w:p>
    <w:p>
      <w:pPr>
        <w:spacing w:after="120"/>
      </w:pPr>
      <w:r>
        <w:rPr>
          <w:rFonts w:ascii="Calibri" w:cs="Calibri" w:eastAsia="Calibri" w:hAnsi="Calibri"/>
        </w:rPr>
        <w:t xml:space="preserve">Quase nenhum erro nasce na hora de apertar “emitir”. Ele nasce antes, num cadastro, e se repete em todas as notas seguintes. </w:t>
      </w:r>
      <w:r>
        <w:rPr>
          <w:rFonts w:ascii="Calibri" w:cs="Calibri" w:eastAsia="Calibri" w:hAnsi="Calibri"/>
          <w:b/>
          <w:bCs/>
        </w:rPr>
        <w:t xml:space="preserve">Por isso o app precisa agir primeiro nos cadastros e na parametrização</w:t>
      </w:r>
      <w:r>
        <w:rPr>
          <w:rFonts w:ascii="Calibri" w:cs="Calibri" w:eastAsia="Calibri" w:hAnsi="Calibri"/>
        </w:rPr>
        <w:t xml:space="preserve">, e só depois conferir as notas.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300"/>
        <w:gridCol w:w="2938"/>
      </w:tblGrid>
      <w:tr>
        <w:trPr>
          <w:cantSplit/>
          <w:tblHeader/>
        </w:trPr>
        <w:tc>
          <w:tcPr>
            <w:tcW w:type="dxa" w:w="1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Onde nasce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Erro típico</w:t>
            </w:r>
          </w:p>
        </w:tc>
        <w:tc>
          <w:tcPr>
            <w:tcW w:type="dxa" w:w="2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Consequência</w:t>
            </w:r>
          </w:p>
        </w:tc>
        <w:tc>
          <w:tcPr>
            <w:tcW w:type="dxa" w:w="29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Como o app evita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1. Cadastro do produto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NCM genérico, errado ou vencido; descrição vaga</w:t>
            </w:r>
          </w:p>
        </w:tc>
        <w:tc>
          <w:tcPr>
            <w:tcW w:type="dxa" w:w="2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cClassTrib errado em todas as notas daquele produto</w:t>
            </w:r>
          </w:p>
        </w:tc>
        <w:tc>
          <w:tcPr>
            <w:tcW w:type="dxa" w:w="29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Valida o NCM, mostra a descrição oficial, sugere o anexo e exige aprovação do escritório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2. Parametrização do ERP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Regra fiscal sem cClassTrib ou com o código errado; alíquota do ano errada</w:t>
            </w:r>
          </w:p>
        </w:tc>
        <w:tc>
          <w:tcPr>
            <w:tcW w:type="dxa" w:w="2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Erro em massa</w:t>
            </w:r>
          </w:p>
        </w:tc>
        <w:tc>
          <w:tcPr>
            <w:tcW w:type="dxa" w:w="29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Tabela pronta para o ERP gerada da matriz aprovada; conferência das primeiras notas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3. Cadastro do comprador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Órgão público cadastrado como empresa comum; UF ou município errados; Simples tratado como regular</w:t>
            </w:r>
          </w:p>
        </w:tc>
        <w:tc>
          <w:tcPr>
            <w:tcW w:type="dxa" w:w="2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Benefício condicionado usado errado; IBS para o lugar errado</w:t>
            </w:r>
          </w:p>
        </w:tc>
        <w:tc>
          <w:tcPr>
            <w:tcW w:type="dxa" w:w="29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Perfil automático pelo CNPJ (natureza jurídica, Simples, endereço) e alertas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4. Na hora de emitir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Operação errada (venda × bonificação × remessa); desconto condicional como incondicional; frete fora da base</w:t>
            </w:r>
          </w:p>
        </w:tc>
        <w:tc>
          <w:tcPr>
            <w:tcW w:type="dxa" w:w="2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Base e valores errados</w:t>
            </w:r>
          </w:p>
        </w:tc>
        <w:tc>
          <w:tcPr>
            <w:tcW w:type="dxa" w:w="29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Assistente “como a nota deve ficar” e pré-conferência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5. Depois de emitir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Erro não percebido dentro do prazo</w:t>
            </w:r>
          </w:p>
        </w:tc>
        <w:tc>
          <w:tcPr>
            <w:tcW w:type="dxa" w:w="2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Cancelamento com multa, nota de crédito ou débito, apuração errada</w:t>
            </w:r>
          </w:p>
        </w:tc>
        <w:tc>
          <w:tcPr>
            <w:tcW w:type="dxa" w:w="29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Conferência do XML no mesmo dia e relógio do prazo de cancelamento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6. Mudança de regra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Tabela de cClassTrib nova; fim de vigência de um código; alíquota nova</w:t>
            </w:r>
          </w:p>
        </w:tc>
        <w:tc>
          <w:tcPr>
            <w:tcW w:type="dxa" w:w="2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Código rejeitado ou fora da regra</w:t>
            </w:r>
          </w:p>
        </w:tc>
        <w:tc>
          <w:tcPr>
            <w:tcW w:type="dxa" w:w="29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Tabelas versionadas e aviso dos produtos e clientes afetados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D7A55" w:sz="24"/>
              <w:bottom w:val="none" w:color="FFFFFF" w:sz="0"/>
              <w:right w:val="none" w:color="FFFFFF" w:sz="0"/>
            </w:tcBorders>
            <w:shd w:fill="E6F4E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D7A55"/>
                <w:sz w:val="21"/>
                <w:szCs w:val="21"/>
              </w:rPr>
              <w:t xml:space="preserve">Princípio do produto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</w:rPr>
              <w:t xml:space="preserve">Prevenir na origem, conferir logo depois, corrigir dentro do prazo.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Cada erro encontrado numa nota vira uma tarefa de “corrigir a origem”: ajustar o cadastro do produto, do comprador ou a regra do ERP. Assim o mesmo erro não se repete na nota seguinte.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5. Como o app funcionaria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B6670"/>
        </w:rPr>
        <w:t xml:space="preserve">Ideias de produto: telas, jornadas passo a passo e esboços. Nada aqui está fechado. É o ponto de partida para decidirmos juntos.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5.1 Visão geral: uma base, três momentos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38"/>
        <w:gridCol w:w="2400"/>
      </w:tblGrid>
      <w:tr>
        <w:trPr>
          <w:cantSplit/>
          <w:tblHeader/>
        </w:trPr>
        <w:tc>
          <w:tcPr>
            <w:tcW w:type="dxa" w:w="2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Momento</w:t>
            </w:r>
          </w:p>
        </w:tc>
        <w:tc>
          <w:tcPr>
            <w:tcW w:type="dxa" w:w="48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 que acontece</w:t>
            </w:r>
          </w:p>
        </w:tc>
        <w:tc>
          <w:tcPr>
            <w:tcW w:type="dxa" w:w="2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Telas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Antes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 (implantação e cadastros)</w:t>
            </w:r>
          </w:p>
        </w:tc>
        <w:tc>
          <w:tcPr>
            <w:tcW w:type="dxa" w:w="48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Cadastro fiscal da empresa, catálogo de produtos com NCM conferido, perfil dos compradores, matriz aprovada, tabela para o ERP</w:t>
            </w:r>
          </w:p>
        </w:tc>
        <w:tc>
          <w:tcPr>
            <w:tcW w:type="dxa" w:w="2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Empresa · Produtos · Compradores · Matriz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Na hora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 (emitir)</w:t>
            </w:r>
          </w:p>
        </w:tc>
        <w:tc>
          <w:tcPr>
            <w:tcW w:type="dxa" w:w="48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O faturamento consulta o assistente e recebe o espelho da nota; opcionalmente confere a pré-visualização do ERP antes de transmitir</w:t>
            </w:r>
          </w:p>
        </w:tc>
        <w:tc>
          <w:tcPr>
            <w:tcW w:type="dxa" w:w="2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Assistente de emissão · Consulta rápida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Depois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 (conferir)</w:t>
            </w:r>
          </w:p>
        </w:tc>
        <w:tc>
          <w:tcPr>
            <w:tcW w:type="dxa" w:w="48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Os XMLs autorizados são conferidos no mesmo dia. Erros dentro do prazo viram alerta de cancelamento; fora do prazo, nota de crédito ou débito</w:t>
            </w:r>
          </w:p>
        </w:tc>
        <w:tc>
          <w:tcPr>
            <w:tcW w:type="dxa" w:w="2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Conferir XML · Notas · Pendências · Carteira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5.2 Mapa de telas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338"/>
        <w:gridCol w:w="2100"/>
      </w:tblGrid>
      <w:tr>
        <w:trPr>
          <w:cantSplit/>
          <w:tblHeader/>
        </w:trPr>
        <w:tc>
          <w:tcPr>
            <w:tcW w:type="dxa" w:w="22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Tela</w:t>
            </w:r>
          </w:p>
        </w:tc>
        <w:tc>
          <w:tcPr>
            <w:tcW w:type="dxa" w:w="53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Para que serve</w:t>
            </w:r>
          </w:p>
        </w:tc>
        <w:tc>
          <w:tcPr>
            <w:tcW w:type="dxa" w:w="2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Quem usa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Início da empresa</w:t>
            </w:r>
          </w:p>
        </w:tc>
        <w:tc>
          <w:tcPr>
            <w:tcW w:type="dxa" w:w="53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Semáforo da empresa: % de produtos aprovados, notas conferidas no mês, erros abertos, prazos de cancelamento correndo</w:t>
            </w:r>
          </w:p>
        </w:tc>
        <w:tc>
          <w:tcPr>
            <w:tcW w:type="dxa" w:w="2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Escritório e cliente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Cadastro fiscal</w:t>
            </w:r>
          </w:p>
        </w:tc>
        <w:tc>
          <w:tcPr>
            <w:tcW w:type="dxa" w:w="53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Regime, CRT, UF/município, CNAE, operações que a empresa faz, perfis de comprador, documentos que emite, ERP usado, prazo de cancelamento da UF, opção do Simples</w:t>
            </w:r>
          </w:p>
        </w:tc>
        <w:tc>
          <w:tcPr>
            <w:tcW w:type="dxa" w:w="2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Escritório edita; cliente vê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Produtos e serviços</w:t>
            </w:r>
          </w:p>
        </w:tc>
        <w:tc>
          <w:tcPr>
            <w:tcW w:type="dxa" w:w="53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Catálogo com NCM/NBS validado, sugestão do enquadramento, status (rascunho → em revisão → aprovado) e histórico</w:t>
            </w:r>
          </w:p>
        </w:tc>
        <w:tc>
          <w:tcPr>
            <w:tcW w:type="dxa" w:w="2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Cliente cadastra; escritório aprova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Compradores</w:t>
            </w:r>
          </w:p>
        </w:tc>
        <w:tc>
          <w:tcPr>
            <w:tcW w:type="dxa" w:w="53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Perfil tributário dos clientes do cliente (regular, Simples, consumidor, órgão público, imune/CEBAS, exterior), preenchido pelo CNPJ</w:t>
            </w:r>
          </w:p>
        </w:tc>
        <w:tc>
          <w:tcPr>
            <w:tcW w:type="dxa" w:w="2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Ambos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Matriz fiscal</w:t>
            </w:r>
          </w:p>
        </w:tc>
        <w:tc>
          <w:tcPr>
            <w:tcW w:type="dxa" w:w="53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As regras produto × operação × comprador → CFOP/CST/cClassTrib, com versões e vigência; exporta para o ERP e gera o manual de emissão em PDF</w:t>
            </w:r>
          </w:p>
        </w:tc>
        <w:tc>
          <w:tcPr>
            <w:tcW w:type="dxa" w:w="2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Escritório monta; cliente consulta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Assistente de emissão</w:t>
            </w:r>
          </w:p>
        </w:tc>
        <w:tc>
          <w:tcPr>
            <w:tcW w:type="dxa" w:w="53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Passo a passo antes de emitir; resultado “como a nota deve ficar”</w:t>
            </w:r>
          </w:p>
        </w:tc>
        <w:tc>
          <w:tcPr>
            <w:tcW w:type="dxa" w:w="2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Faturamento do cliente e escritório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Consulta rápida</w:t>
            </w:r>
          </w:p>
        </w:tc>
        <w:tc>
          <w:tcPr>
            <w:tcW w:type="dxa" w:w="53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“Qual cClassTrib uso para este produto e este comprador?” — busca por nome, código ou NCM; funciona no celular</w:t>
            </w:r>
          </w:p>
        </w:tc>
        <w:tc>
          <w:tcPr>
            <w:tcW w:type="dxa" w:w="2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Todos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Conferir XML</w:t>
            </w:r>
          </w:p>
        </w:tc>
        <w:tc>
          <w:tcPr>
            <w:tcW w:type="dxa" w:w="53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Upload de XMLs/ZIP e resultado por nota</w:t>
            </w:r>
          </w:p>
        </w:tc>
        <w:tc>
          <w:tcPr>
            <w:tcW w:type="dxa" w:w="2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Ambos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Notas</w:t>
            </w:r>
          </w:p>
        </w:tc>
        <w:tc>
          <w:tcPr>
            <w:tcW w:type="dxa" w:w="53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Histórico das notas conferidas, com filtros, status e ações</w:t>
            </w:r>
          </w:p>
        </w:tc>
        <w:tc>
          <w:tcPr>
            <w:tcW w:type="dxa" w:w="2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Ambos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Pendências</w:t>
            </w:r>
          </w:p>
        </w:tc>
        <w:tc>
          <w:tcPr>
            <w:tcW w:type="dxa" w:w="53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Tudo o que precisa de ação: cancelar no prazo, emitir nota de crédito ou débito, corrigir um cadastro, aprovar um produto</w:t>
            </w:r>
          </w:p>
        </w:tc>
        <w:tc>
          <w:tcPr>
            <w:tcW w:type="dxa" w:w="2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Ambos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Carteira</w:t>
            </w:r>
          </w:p>
        </w:tc>
        <w:tc>
          <w:tcPr>
            <w:tcW w:type="dxa" w:w="53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Todos os clientes: risco, erros, produtos pendentes, prazos correndo, nota de conformidade</w:t>
            </w:r>
          </w:p>
        </w:tc>
        <w:tc>
          <w:tcPr>
            <w:tcW w:type="dxa" w:w="2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Escritório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Tabelas oficiais</w:t>
            </w:r>
          </w:p>
        </w:tc>
        <w:tc>
          <w:tcPr>
            <w:tcW w:type="dxa" w:w="53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Versões de cClassTrib, NCM, NBS e cIndOp; aviso do que mudou e de quem é afetado</w:t>
            </w:r>
          </w:p>
        </w:tc>
        <w:tc>
          <w:tcPr>
            <w:tcW w:type="dxa" w:w="2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Escritório (administração)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5.3 Jornada 1 — Implantar um cliente (escritório)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Calibri" w:cs="Calibri" w:eastAsia="Calibri" w:hAnsi="Calibri"/>
          <w:b/>
          <w:bCs/>
        </w:rPr>
        <w:t xml:space="preserve">Cadastrar a empresa pelo CNPJ.</w:t>
      </w:r>
      <w:r>
        <w:rPr>
          <w:rFonts w:ascii="Calibri" w:cs="Calibri" w:eastAsia="Calibri" w:hAnsi="Calibri"/>
        </w:rPr>
        <w:t xml:space="preserve"> O app busca os dados públicos (razão social, CNAE, endereço, Simples) e o escritório completa regime e CRT.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Calibri" w:cs="Calibri" w:eastAsia="Calibri" w:hAnsi="Calibri"/>
          <w:b/>
          <w:bCs/>
        </w:rPr>
        <w:t xml:space="preserve">Responder o questionário de operações.</w:t>
      </w:r>
      <w:r>
        <w:rPr>
          <w:rFonts w:ascii="Calibri" w:cs="Calibri" w:eastAsia="Calibri" w:hAnsi="Calibri"/>
        </w:rPr>
        <w:t xml:space="preserve"> Vende para quem (empresas, consumidor final, governo, hospitais, exterior)? Vende para outros estados? Presta serviço? Faz devolução, bonificação, remessa para conserto, transferência entre filiais? Qual ERP usa?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Calibri" w:cs="Calibri" w:eastAsia="Calibri" w:hAnsi="Calibri"/>
          <w:b/>
          <w:bCs/>
        </w:rPr>
        <w:t xml:space="preserve">Importar os produtos</w:t>
      </w:r>
      <w:r>
        <w:rPr>
          <w:rFonts w:ascii="Calibri" w:cs="Calibri" w:eastAsia="Calibri" w:hAnsi="Calibri"/>
        </w:rPr>
        <w:t xml:space="preserve">, por planilha exportada do ERP ou pelos XMLs de venda dos últimos meses. O app extrai produto, NCM, CFOPs usados e compradores.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Calibri" w:cs="Calibri" w:eastAsia="Calibri" w:hAnsi="Calibri"/>
          <w:b/>
          <w:bCs/>
        </w:rPr>
        <w:t xml:space="preserve">Revisar as sugestões.</w:t>
      </w:r>
      <w:r>
        <w:rPr>
          <w:rFonts w:ascii="Calibri" w:cs="Calibri" w:eastAsia="Calibri" w:hAnsi="Calibri"/>
        </w:rPr>
        <w:t xml:space="preserve"> O app classifica cada item em verde (sem benefício ou benefício claro), amarelo (benefício que depende da descrição ou do comprador) ou vermelho (NCM inválido, vencido ou inconsistente). O escritório revisa os amarelos e os vermelhos.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Calibri" w:cs="Calibri" w:eastAsia="Calibri" w:hAnsi="Calibri"/>
          <w:b/>
          <w:bCs/>
        </w:rPr>
        <w:t xml:space="preserve">Aprovar a matriz.</w:t>
      </w:r>
      <w:r>
        <w:rPr>
          <w:rFonts w:ascii="Calibri" w:cs="Calibri" w:eastAsia="Calibri" w:hAnsi="Calibri"/>
        </w:rPr>
        <w:t xml:space="preserve"> O app monta as regras a partir do catálogo e do questionário, e o escritório revisa e aprova a versão 1.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Calibri" w:cs="Calibri" w:eastAsia="Calibri" w:hAnsi="Calibri"/>
          <w:b/>
          <w:bCs/>
        </w:rPr>
        <w:t xml:space="preserve">Entregar ao cliente:</w:t>
      </w:r>
      <w:r>
        <w:rPr>
          <w:rFonts w:ascii="Calibri" w:cs="Calibri" w:eastAsia="Calibri" w:hAnsi="Calibri"/>
        </w:rPr>
        <w:t xml:space="preserve"> a tabela de parametrização do ERP (planilha), o manual de emissão (PDF) e o acesso ao app por e-mail, como já funciona no módulo Reforma.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Calibri" w:cs="Calibri" w:eastAsia="Calibri" w:hAnsi="Calibri"/>
          <w:b/>
          <w:bCs/>
        </w:rPr>
        <w:t xml:space="preserve">Conferir as primeiras notas</w:t>
      </w:r>
      <w:r>
        <w:rPr>
          <w:rFonts w:ascii="Calibri" w:cs="Calibri" w:eastAsia="Calibri" w:hAnsi="Calibri"/>
        </w:rPr>
        <w:t xml:space="preserve"> emitidas depois da parametrização, para ver se o ERP ficou certo.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5.4 Jornada 2 — Cadastrar um produto sem erro</w:t>
      </w:r>
    </w:p>
    <w:p>
      <w:pPr>
        <w:spacing w:after="120"/>
      </w:pPr>
      <w:r>
        <w:rPr>
          <w:rFonts w:ascii="Calibri" w:cs="Calibri" w:eastAsia="Calibri" w:hAnsi="Calibri"/>
        </w:rPr>
        <w:t xml:space="preserve">Esta é a parte mais importante para </w:t>
      </w:r>
      <w:r>
        <w:rPr>
          <w:rFonts w:ascii="Calibri" w:cs="Calibri" w:eastAsia="Calibri" w:hAnsi="Calibri"/>
          <w:b/>
          <w:bCs/>
        </w:rPr>
        <w:t xml:space="preserve">o usuário não errar</w:t>
      </w:r>
      <w:r>
        <w:rPr>
          <w:rFonts w:ascii="Calibri" w:cs="Calibri" w:eastAsia="Calibri" w:hAnsi="Calibri"/>
        </w:rPr>
        <w:t xml:space="preserve">. O cadastro do produto é feito uma vez e vale para todas as notas.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rFonts w:ascii="Calibri" w:cs="Calibri" w:eastAsia="Calibri" w:hAnsi="Calibri"/>
        </w:rPr>
        <w:t xml:space="preserve">O cliente digita o nome do produto e o NCM, ou busca o NCM pelo nome.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rFonts w:ascii="Calibri" w:cs="Calibri" w:eastAsia="Calibri" w:hAnsi="Calibri"/>
          <w:b/>
          <w:bCs/>
        </w:rPr>
        <w:t xml:space="preserve">O app valida o NCM:</w:t>
      </w:r>
      <w:r>
        <w:rPr>
          <w:rFonts w:ascii="Calibri" w:cs="Calibri" w:eastAsia="Calibri" w:hAnsi="Calibri"/>
        </w:rPr>
        <w:t xml:space="preserve"> tem 8 dígitos, existe na tabela oficial e está vigente. Se não estiver, mostra os códigos válidos mais próximos.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rFonts w:ascii="Calibri" w:cs="Calibri" w:eastAsia="Calibri" w:hAnsi="Calibri"/>
          <w:b/>
          <w:bCs/>
        </w:rPr>
        <w:t xml:space="preserve">O app mostra a descrição oficial do NCM</w:t>
      </w:r>
      <w:r>
        <w:rPr>
          <w:rFonts w:ascii="Calibri" w:cs="Calibri" w:eastAsia="Calibri" w:hAnsi="Calibri"/>
        </w:rPr>
        <w:t xml:space="preserve"> e pergunta: “confere com o seu produto?”. Este é o momento em que a maioria dos erros é pega.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rFonts w:ascii="Calibri" w:cs="Calibri" w:eastAsia="Calibri" w:hAnsi="Calibri"/>
          <w:b/>
          <w:bCs/>
        </w:rPr>
        <w:t xml:space="preserve">O app mostra o enquadramento na LC 214:</w:t>
      </w:r>
      <w:r>
        <w:rPr>
          <w:rFonts w:ascii="Calibri" w:cs="Calibri" w:eastAsia="Calibri" w:hAnsi="Calibri"/>
        </w:rPr>
        <w:t xml:space="preserve"> em qual anexo e item o NCM aparece, com o texto do item, a redução e as condições. Ex.: “Anexo IV, item 59 — Seringas, mesmo com agulhas: 60% de redução; se vender para órgão público ou entidade SUS, alíquota zero”.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rFonts w:ascii="Calibri" w:cs="Calibri" w:eastAsia="Calibri" w:hAnsi="Calibri"/>
        </w:rPr>
        <w:t xml:space="preserve">Se o item do anexo depende da descrição, o app pergunta </w:t>
      </w:r>
      <w:r>
        <w:rPr>
          <w:rFonts w:ascii="Calibri" w:cs="Calibri" w:eastAsia="Calibri" w:hAnsi="Calibri"/>
          <w:b/>
          <w:bCs/>
        </w:rPr>
        <w:t xml:space="preserve">“o seu produto é exatamente isto?”</w:t>
      </w:r>
      <w:r>
        <w:rPr>
          <w:rFonts w:ascii="Calibri" w:cs="Calibri" w:eastAsia="Calibri" w:hAnsi="Calibri"/>
        </w:rPr>
        <w:t xml:space="preserve"> e guarda a resposta como justificativa.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rFonts w:ascii="Calibri" w:cs="Calibri" w:eastAsia="Calibri" w:hAnsi="Calibri"/>
          <w:b/>
          <w:bCs/>
        </w:rPr>
        <w:t xml:space="preserve">Compara com o NCM das notas de compra</w:t>
      </w:r>
      <w:r>
        <w:rPr>
          <w:rFonts w:ascii="Calibri" w:cs="Calibri" w:eastAsia="Calibri" w:hAnsi="Calibri"/>
        </w:rPr>
        <w:t xml:space="preserve"> desse produto, quando houver: se o fornecedor usa outro NCM, o app avisa para conferir.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rFonts w:ascii="Calibri" w:cs="Calibri" w:eastAsia="Calibri" w:hAnsi="Calibri"/>
        </w:rPr>
        <w:t xml:space="preserve">O cliente envia para aprovação ou marca </w:t>
      </w:r>
      <w:r>
        <w:rPr>
          <w:rFonts w:ascii="Calibri" w:cs="Calibri" w:eastAsia="Calibri" w:hAnsi="Calibri"/>
          <w:b/>
          <w:bCs/>
        </w:rPr>
        <w:t xml:space="preserve">“não tenho certeza”</w:t>
      </w:r>
      <w:r>
        <w:rPr>
          <w:rFonts w:ascii="Calibri" w:cs="Calibri" w:eastAsia="Calibri" w:hAnsi="Calibri"/>
        </w:rPr>
        <w:t xml:space="preserve">, e o item vai para a fila do escritório com prioridade.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rFonts w:ascii="Calibri" w:cs="Calibri" w:eastAsia="Calibri" w:hAnsi="Calibri"/>
          <w:b/>
          <w:bCs/>
        </w:rPr>
        <w:t xml:space="preserve">O escritório aprova</w:t>
      </w:r>
      <w:r>
        <w:rPr>
          <w:rFonts w:ascii="Calibri" w:cs="Calibri" w:eastAsia="Calibri" w:hAnsi="Calibri"/>
        </w:rPr>
        <w:t xml:space="preserve"> (ou corrige) e o produto fica liberado. A tabela do ERP é atualizada com o item novo, e tudo fica no histórico: quem cadastrou, quem aprovou, quando e por quê.</w:t>
      </w:r>
    </w:p>
    <w:p>
      <w:pPr>
        <w:spacing w:after="120"/>
      </w:pPr>
      <w:r>
        <w:rPr>
          <w:rFonts w:ascii="Calibri" w:cs="Calibri" w:eastAsia="Calibri" w:hAnsi="Calibri"/>
        </w:rPr>
        <w:t xml:space="preserve">Produto não aprovado aparece em </w:t>
      </w:r>
      <w:r>
        <w:rPr>
          <w:rFonts w:ascii="Calibri" w:cs="Calibri" w:eastAsia="Calibri" w:hAnsi="Calibri"/>
          <w:b/>
          <w:bCs/>
        </w:rPr>
        <w:t xml:space="preserve">amarelo</w:t>
      </w:r>
      <w:r>
        <w:rPr>
          <w:rFonts w:ascii="Calibri" w:cs="Calibri" w:eastAsia="Calibri" w:hAnsi="Calibri"/>
        </w:rPr>
        <w:t xml:space="preserve"> no assistente e na conferência de XML, sem bloquear o trabalho, mas sempre visível.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5"/>
      </w:tblGrid>
      <w:tr>
        <w:trPr>
          <w:cantSplit/>
        </w:trPr>
        <w:tc>
          <w:tcPr>
            <w:tcW w:type="dxa" w:w="9638"/>
            <w:gridSpan w:val="12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AthosBI › Nota Certa › Produtos › Novo produto</w:t>
            </w:r>
          </w:p>
        </w:tc>
      </w:tr>
      <w:tr>
        <w:trPr>
          <w:cantSplit/>
        </w:trPr>
        <w:tc>
          <w:tcPr>
            <w:tcW w:type="dxa" w:w="4818"/>
            <w:gridSpan w:val="6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Descrição</w:t>
            </w:r>
          </w:p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Seringa descartável 10 ml com agulha</w:t>
            </w:r>
          </w:p>
        </w:tc>
        <w:tc>
          <w:tcPr>
            <w:tcW w:type="dxa" w:w="2409"/>
            <w:gridSpan w:val="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Código interno</w:t>
            </w:r>
          </w:p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SER-010</w:t>
            </w:r>
          </w:p>
        </w:tc>
        <w:tc>
          <w:tcPr>
            <w:tcW w:type="dxa" w:w="2411"/>
            <w:gridSpan w:val="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Unidade</w:t>
            </w:r>
          </w:p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UN</w:t>
            </w:r>
          </w:p>
        </w:tc>
      </w:tr>
      <w:tr>
        <w:trPr>
          <w:cantSplit/>
        </w:trPr>
        <w:tc>
          <w:tcPr>
            <w:tcW w:type="dxa" w:w="2409"/>
            <w:gridSpan w:val="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NCM</w:t>
            </w:r>
          </w:p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9018.31.19</w:t>
            </w:r>
          </w:p>
        </w:tc>
        <w:tc>
          <w:tcPr>
            <w:tcW w:type="dxa" w:w="3212"/>
            <w:gridSpan w:val="4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E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7A55"/>
                <w:sz w:val="16"/>
                <w:szCs w:val="16"/>
              </w:rPr>
              <w:t xml:space="preserve">✓ 8 dígitos · existe na tabela · vigente</w:t>
            </w:r>
          </w:p>
        </w:tc>
        <w:tc>
          <w:tcPr>
            <w:tcW w:type="dxa" w:w="4017"/>
            <w:gridSpan w:val="5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Subposição 9018.31: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 Seringas, mesmo com agulhas</w:t>
            </w:r>
          </w:p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Confere com o seu produto?   [ Sim ]   [ Não sei ]</w:t>
            </w:r>
          </w:p>
        </w:tc>
      </w:tr>
      <w:tr>
        <w:trPr>
          <w:cantSplit/>
        </w:trPr>
        <w:tc>
          <w:tcPr>
            <w:tcW w:type="dxa" w:w="9638"/>
            <w:gridSpan w:val="12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Enquadramento na LC 214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 — Anexo IV, item 59: “Seringas, mesmo com agulhas”</w:t>
            </w:r>
          </w:p>
          <w:p>
            <w:pPr>
              <w:pStyle w:val="ListParagraph"/>
              <w:keepNext/>
              <w:numPr>
                <w:ilvl w:val="0"/>
                <w:numId w:val="4"/>
              </w:num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Venda em geral: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redução de 60%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 → CST 200 · cClassTrib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200030</w:t>
            </w:r>
          </w:p>
          <w:p>
            <w:pPr>
              <w:pStyle w:val="ListParagraph"/>
              <w:keepNext/>
              <w:numPr>
                <w:ilvl w:val="0"/>
                <w:numId w:val="4"/>
              </w:num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Venda a órgão público ou entidade de saúde imune com CEBAS (SUS):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alíquota zero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 → cClassTrib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200005</w:t>
            </w:r>
          </w:p>
        </w:tc>
      </w:tr>
      <w:tr>
        <w:trPr>
          <w:cantSplit/>
        </w:trPr>
        <w:tc>
          <w:tcPr>
            <w:tcW w:type="dxa" w:w="4818"/>
            <w:gridSpan w:val="6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Notas de compra: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 o fornecedor usa o NCM 9018.31.19 ✓ (igual)</w:t>
            </w:r>
          </w:p>
        </w:tc>
        <w:tc>
          <w:tcPr>
            <w:tcW w:type="dxa" w:w="4820"/>
            <w:gridSpan w:val="6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FF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6"/>
                <w:szCs w:val="16"/>
              </w:rPr>
              <w:t xml:space="preserve">Status:</w:t>
            </w:r>
            <w:r>
              <w:rPr>
                <w:rFonts w:ascii="Calibri" w:cs="Calibri" w:eastAsia="Calibri" w:hAnsi="Calibri"/>
                <w:b w:val="false"/>
                <w:bCs w:val="false"/>
                <w:color w:val="8A5A00"/>
                <w:sz w:val="16"/>
                <w:szCs w:val="16"/>
              </w:rPr>
              <w:t xml:space="preserve"> aguardando aprovação do escritório</w:t>
            </w:r>
          </w:p>
        </w:tc>
      </w:tr>
      <w:tr>
        <w:trPr>
          <w:cantSplit/>
        </w:trPr>
        <w:tc>
          <w:tcPr>
            <w:tcW w:type="dxa" w:w="9638"/>
            <w:gridSpan w:val="12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[ Salvar rascunho ]      [ Enviar para aprovação ]</w:t>
            </w:r>
          </w:p>
        </w:tc>
      </w:tr>
    </w:tbl>
    <w:p>
      <w:pPr>
        <w:spacing w:after="200" w:before="60"/>
      </w:pPr>
      <w:r>
        <w:rPr>
          <w:rFonts w:ascii="Calibri" w:cs="Calibri" w:eastAsia="Calibri" w:hAnsi="Calibri"/>
          <w:i/>
          <w:iCs/>
          <w:color w:val="5B6670"/>
          <w:sz w:val="16"/>
          <w:szCs w:val="16"/>
        </w:rPr>
        <w:t xml:space="preserve">Esboço ilustrativo — o visual final segue o padrão das telas do AthosBI.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5.5 Jornada 3 — Perfil dos compradores</w:t>
      </w:r>
    </w:p>
    <w:p>
      <w:pPr>
        <w:spacing w:after="120"/>
      </w:pPr>
      <w:r>
        <w:rPr>
          <w:rFonts w:ascii="Calibri" w:cs="Calibri" w:eastAsia="Calibri" w:hAnsi="Calibri"/>
        </w:rPr>
        <w:t xml:space="preserve">Vários benefícios dependem de </w:t>
      </w:r>
      <w:r>
        <w:rPr>
          <w:rFonts w:ascii="Calibri" w:cs="Calibri" w:eastAsia="Calibri" w:hAnsi="Calibri"/>
          <w:b/>
          <w:bCs/>
        </w:rPr>
        <w:t xml:space="preserve">quem compra</w:t>
      </w:r>
      <w:r>
        <w:rPr>
          <w:rFonts w:ascii="Calibri" w:cs="Calibri" w:eastAsia="Calibri" w:hAnsi="Calibri"/>
        </w:rPr>
        <w:t xml:space="preserve">. Por isso o app mantém o perfil tributário de cada comprador do cliente: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Pelo CNPJ</w:t>
      </w:r>
      <w:r>
        <w:rPr>
          <w:rFonts w:ascii="Calibri" w:cs="Calibri" w:eastAsia="Calibri" w:hAnsi="Calibri"/>
        </w:rPr>
        <w:t xml:space="preserve">, a consulta pública traz a natureza jurídica: os códigos que começam com 1 são administração pública. Também traz a opção pelo Simples e o endereço.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Entidade imune com CEBAS (SUS)</w:t>
      </w:r>
      <w:r>
        <w:rPr>
          <w:rFonts w:ascii="Calibri" w:cs="Calibri" w:eastAsia="Calibri" w:hAnsi="Calibri"/>
        </w:rPr>
        <w:t xml:space="preserve"> não aparece no CNPJ. O cliente marca e anexa o comprovante, e o escritório valida.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Os compradores podem ser </w:t>
      </w:r>
      <w:r>
        <w:rPr>
          <w:rFonts w:ascii="Calibri" w:cs="Calibri" w:eastAsia="Calibri" w:hAnsi="Calibri"/>
          <w:b/>
          <w:bCs/>
        </w:rPr>
        <w:t xml:space="preserve">importados dos XMLs</w:t>
      </w:r>
      <w:r>
        <w:rPr>
          <w:rFonts w:ascii="Calibri" w:cs="Calibri" w:eastAsia="Calibri" w:hAnsi="Calibri"/>
        </w:rPr>
        <w:t xml:space="preserve"> de venda, e o perfil fica salvo para as próximas notas.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 perfil alimenta o assistente e o validador. Ex.: o comprador é hospital privado, então 200005 é erro.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5.6 Jornada 4 — Emitir uma nota com o assistente</w:t>
      </w:r>
    </w:p>
    <w:p>
      <w:pPr>
        <w:spacing w:after="120"/>
      </w:pPr>
      <w:r>
        <w:rPr>
          <w:rFonts w:ascii="Calibri" w:cs="Calibri" w:eastAsia="Calibri" w:hAnsi="Calibri"/>
        </w:rPr>
        <w:t xml:space="preserve">Para o pessoal do faturamento consultar </w:t>
      </w:r>
      <w:r>
        <w:rPr>
          <w:rFonts w:ascii="Calibri" w:cs="Calibri" w:eastAsia="Calibri" w:hAnsi="Calibri"/>
          <w:b/>
          <w:bCs/>
        </w:rPr>
        <w:t xml:space="preserve">antes</w:t>
      </w:r>
      <w:r>
        <w:rPr>
          <w:rFonts w:ascii="Calibri" w:cs="Calibri" w:eastAsia="Calibri" w:hAnsi="Calibri"/>
        </w:rPr>
        <w:t xml:space="preserve"> de emitir no ERP. O app </w:t>
      </w:r>
      <w:r>
        <w:rPr>
          <w:rFonts w:ascii="Calibri" w:cs="Calibri" w:eastAsia="Calibri" w:hAnsi="Calibri"/>
          <w:b/>
          <w:bCs/>
        </w:rPr>
        <w:t xml:space="preserve">não emite a nota</w:t>
      </w:r>
      <w:r>
        <w:rPr>
          <w:rFonts w:ascii="Calibri" w:cs="Calibri" w:eastAsia="Calibri" w:hAnsi="Calibri"/>
        </w:rPr>
        <w:t xml:space="preserve"> (não é um emissor): ele diz como a nota deve sair.</w:t>
      </w:r>
    </w:p>
    <w:p>
      <w:pPr>
        <w:pStyle w:val="ListParagraph"/>
        <w:numPr>
          <w:ilvl w:val="0"/>
          <w:numId w:val="7"/>
        </w:numPr>
        <w:spacing w:after="70"/>
      </w:pPr>
      <w:r>
        <w:rPr>
          <w:rFonts w:ascii="Calibri" w:cs="Calibri" w:eastAsia="Calibri" w:hAnsi="Calibri"/>
          <w:b/>
          <w:bCs/>
        </w:rPr>
        <w:t xml:space="preserve">Operação:</w:t>
      </w:r>
      <w:r>
        <w:rPr>
          <w:rFonts w:ascii="Calibri" w:cs="Calibri" w:eastAsia="Calibri" w:hAnsi="Calibri"/>
        </w:rPr>
        <w:t xml:space="preserve"> venda, devolução, bonificação, remessa, transferência…</w:t>
      </w:r>
    </w:p>
    <w:p>
      <w:pPr>
        <w:pStyle w:val="ListParagraph"/>
        <w:numPr>
          <w:ilvl w:val="0"/>
          <w:numId w:val="7"/>
        </w:numPr>
        <w:spacing w:after="70"/>
      </w:pPr>
      <w:r>
        <w:rPr>
          <w:rFonts w:ascii="Calibri" w:cs="Calibri" w:eastAsia="Calibri" w:hAnsi="Calibri"/>
          <w:b/>
          <w:bCs/>
        </w:rPr>
        <w:t xml:space="preserve">Comprador:</w:t>
      </w:r>
      <w:r>
        <w:rPr>
          <w:rFonts w:ascii="Calibri" w:cs="Calibri" w:eastAsia="Calibri" w:hAnsi="Calibri"/>
        </w:rPr>
        <w:t xml:space="preserve"> busca pelo nome ou CNPJ, e o perfil vem pronto.</w:t>
      </w:r>
    </w:p>
    <w:p>
      <w:pPr>
        <w:pStyle w:val="ListParagraph"/>
        <w:numPr>
          <w:ilvl w:val="0"/>
          <w:numId w:val="7"/>
        </w:numPr>
        <w:spacing w:after="70"/>
      </w:pPr>
      <w:r>
        <w:rPr>
          <w:rFonts w:ascii="Calibri" w:cs="Calibri" w:eastAsia="Calibri" w:hAnsi="Calibri"/>
          <w:b/>
          <w:bCs/>
        </w:rPr>
        <w:t xml:space="preserve">Itens:</w:t>
      </w:r>
      <w:r>
        <w:rPr>
          <w:rFonts w:ascii="Calibri" w:cs="Calibri" w:eastAsia="Calibri" w:hAnsi="Calibri"/>
        </w:rPr>
        <w:t xml:space="preserve"> pelo código interno, nome ou NCM, com quantidade e preço.</w:t>
      </w:r>
    </w:p>
    <w:p>
      <w:pPr>
        <w:pStyle w:val="ListParagraph"/>
        <w:numPr>
          <w:ilvl w:val="0"/>
          <w:numId w:val="7"/>
        </w:numPr>
        <w:spacing w:after="70"/>
      </w:pPr>
      <w:r>
        <w:rPr>
          <w:rFonts w:ascii="Calibri" w:cs="Calibri" w:eastAsia="Calibri" w:hAnsi="Calibri"/>
          <w:b/>
          <w:bCs/>
        </w:rPr>
        <w:t xml:space="preserve">Valores:</w:t>
      </w:r>
      <w:r>
        <w:rPr>
          <w:rFonts w:ascii="Calibri" w:cs="Calibri" w:eastAsia="Calibri" w:hAnsi="Calibri"/>
        </w:rPr>
        <w:t xml:space="preserve"> frete, seguro e despesas cobradas; desconto </w:t>
      </w:r>
      <w:r>
        <w:rPr>
          <w:rFonts w:ascii="Calibri" w:cs="Calibri" w:eastAsia="Calibri" w:hAnsi="Calibri"/>
          <w:b/>
          <w:bCs/>
        </w:rPr>
        <w:t xml:space="preserve">incondicional</w:t>
      </w:r>
      <w:r>
        <w:rPr>
          <w:rFonts w:ascii="Calibri" w:cs="Calibri" w:eastAsia="Calibri" w:hAnsi="Calibri"/>
        </w:rPr>
        <w:t xml:space="preserve"> (sai da base) ou </w:t>
      </w:r>
      <w:r>
        <w:rPr>
          <w:rFonts w:ascii="Calibri" w:cs="Calibri" w:eastAsia="Calibri" w:hAnsi="Calibri"/>
          <w:b/>
          <w:bCs/>
        </w:rPr>
        <w:t xml:space="preserve">condicional</w:t>
      </w:r>
      <w:r>
        <w:rPr>
          <w:rFonts w:ascii="Calibri" w:cs="Calibri" w:eastAsia="Calibri" w:hAnsi="Calibri"/>
        </w:rPr>
        <w:t xml:space="preserve"> (fica na base).</w:t>
      </w:r>
    </w:p>
    <w:p>
      <w:pPr>
        <w:pStyle w:val="ListParagraph"/>
        <w:numPr>
          <w:ilvl w:val="0"/>
          <w:numId w:val="7"/>
        </w:numPr>
        <w:spacing w:after="70"/>
      </w:pPr>
      <w:r>
        <w:rPr>
          <w:rFonts w:ascii="Calibri" w:cs="Calibri" w:eastAsia="Calibri" w:hAnsi="Calibri"/>
          <w:b/>
          <w:bCs/>
        </w:rPr>
        <w:t xml:space="preserve">Resultado “como a nota deve ficar”:</w:t>
      </w:r>
      <w:r>
        <w:rPr>
          <w:rFonts w:ascii="Calibri" w:cs="Calibri" w:eastAsia="Calibri" w:hAnsi="Calibri"/>
        </w:rPr>
        <w:t xml:space="preserve"> para cada item, CFOP, CST, cClassTrib, base, alíquotas e valores, mais os totais e as observações que devem constar.</w:t>
      </w:r>
    </w:p>
    <w:p>
      <w:pPr>
        <w:pStyle w:val="ListParagraph"/>
        <w:numPr>
          <w:ilvl w:val="0"/>
          <w:numId w:val="7"/>
        </w:numPr>
        <w:spacing w:after="70"/>
      </w:pPr>
      <w:r>
        <w:rPr>
          <w:rFonts w:ascii="Calibri" w:cs="Calibri" w:eastAsia="Calibri" w:hAnsi="Calibri"/>
          <w:b/>
          <w:bCs/>
        </w:rPr>
        <w:t xml:space="preserve">Alertas</w:t>
      </w:r>
      <w:r>
        <w:rPr>
          <w:rFonts w:ascii="Calibri" w:cs="Calibri" w:eastAsia="Calibri" w:hAnsi="Calibri"/>
        </w:rPr>
        <w:t xml:space="preserve"> explicando o porquê de cada ponto de atenção.</w:t>
      </w:r>
    </w:p>
    <w:p>
      <w:pPr>
        <w:pStyle w:val="ListParagraph"/>
        <w:numPr>
          <w:ilvl w:val="0"/>
          <w:numId w:val="7"/>
        </w:numPr>
        <w:spacing w:after="70"/>
      </w:pPr>
      <w:r>
        <w:rPr>
          <w:rFonts w:ascii="Calibri" w:cs="Calibri" w:eastAsia="Calibri" w:hAnsi="Calibri"/>
          <w:b/>
          <w:bCs/>
        </w:rPr>
        <w:t xml:space="preserve">Ações:</w:t>
      </w:r>
      <w:r>
        <w:rPr>
          <w:rFonts w:ascii="Calibri" w:cs="Calibri" w:eastAsia="Calibri" w:hAnsi="Calibri"/>
        </w:rPr>
        <w:t xml:space="preserve"> copiar os valores, baixar o espelho em PDF e, numa segunda fase, colar ou enviar o XML de pré-visualização do ERP para conferir antes de transmitir.</w:t>
      </w:r>
    </w:p>
    <w:p>
      <w:pPr>
        <w:pStyle w:val="ListParagraph"/>
        <w:numPr>
          <w:ilvl w:val="0"/>
          <w:numId w:val="7"/>
        </w:numPr>
        <w:spacing w:after="70"/>
      </w:pPr>
      <w:r>
        <w:rPr>
          <w:rFonts w:ascii="Calibri" w:cs="Calibri" w:eastAsia="Calibri" w:hAnsi="Calibri"/>
        </w:rPr>
        <w:t xml:space="preserve">Depois de emitida, o XML volta (por upload ou automaticamente) e é conferido contra o espelho.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5"/>
      </w:tblGrid>
      <w:tr>
        <w:trPr>
          <w:cantSplit/>
        </w:trPr>
        <w:tc>
          <w:tcPr>
            <w:tcW w:type="dxa" w:w="9638"/>
            <w:gridSpan w:val="12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Assistente de emissão — passo 5 de 5: como a nota deve ficar</w:t>
            </w:r>
          </w:p>
        </w:tc>
      </w:tr>
      <w:tr>
        <w:trPr>
          <w:cantSplit/>
        </w:trPr>
        <w:tc>
          <w:tcPr>
            <w:tcW w:type="dxa" w:w="2409"/>
            <w:gridSpan w:val="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Operação</w:t>
            </w:r>
          </w:p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Venda de mercadoria</w:t>
            </w:r>
          </w:p>
        </w:tc>
        <w:tc>
          <w:tcPr>
            <w:tcW w:type="dxa" w:w="4818"/>
            <w:gridSpan w:val="6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Comprador</w:t>
            </w:r>
          </w:p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Hospital Exemplo Ltda — empresa privada, regime regular, SP</w:t>
            </w:r>
          </w:p>
        </w:tc>
        <w:tc>
          <w:tcPr>
            <w:tcW w:type="dxa" w:w="2411"/>
            <w:gridSpan w:val="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Documento</w:t>
            </w:r>
          </w:p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NF-e 55 · dentro do estado</w:t>
            </w:r>
          </w:p>
        </w:tc>
      </w:tr>
      <w:tr>
        <w:trPr>
          <w:cantSplit/>
        </w:trPr>
        <w:tc>
          <w:tcPr>
            <w:tcW w:type="dxa" w:w="2409"/>
            <w:gridSpan w:val="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Item</w:t>
            </w:r>
          </w:p>
        </w:tc>
        <w:tc>
          <w:tcPr>
            <w:tcW w:type="dxa" w:w="1606"/>
            <w:gridSpan w:val="2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NCM</w:t>
            </w:r>
          </w:p>
        </w:tc>
        <w:tc>
          <w:tcPr>
            <w:tcW w:type="dxa" w:w="80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CFOP</w:t>
            </w:r>
          </w:p>
        </w:tc>
        <w:tc>
          <w:tcPr>
            <w:tcW w:type="dxa" w:w="80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CST</w:t>
            </w:r>
          </w:p>
        </w:tc>
        <w:tc>
          <w:tcPr>
            <w:tcW w:type="dxa" w:w="80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cClassTrib</w:t>
            </w:r>
          </w:p>
        </w:tc>
        <w:tc>
          <w:tcPr>
            <w:tcW w:type="dxa" w:w="1606"/>
            <w:gridSpan w:val="2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Base</w:t>
            </w:r>
          </w:p>
        </w:tc>
        <w:tc>
          <w:tcPr>
            <w:tcW w:type="dxa" w:w="80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CBS</w:t>
            </w:r>
          </w:p>
        </w:tc>
        <w:tc>
          <w:tcPr>
            <w:tcW w:type="dxa" w:w="805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IBS</w:t>
            </w:r>
          </w:p>
        </w:tc>
      </w:tr>
      <w:tr>
        <w:trPr>
          <w:cantSplit/>
        </w:trPr>
        <w:tc>
          <w:tcPr>
            <w:tcW w:type="dxa" w:w="2409"/>
            <w:gridSpan w:val="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Seringa 10 ml com agulha</w:t>
            </w:r>
          </w:p>
        </w:tc>
        <w:tc>
          <w:tcPr>
            <w:tcW w:type="dxa" w:w="1606"/>
            <w:gridSpan w:val="2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9018.31.19</w:t>
            </w:r>
          </w:p>
        </w:tc>
        <w:tc>
          <w:tcPr>
            <w:tcW w:type="dxa" w:w="80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5102</w:t>
            </w:r>
          </w:p>
        </w:tc>
        <w:tc>
          <w:tcPr>
            <w:tcW w:type="dxa" w:w="80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200</w:t>
            </w:r>
          </w:p>
        </w:tc>
        <w:tc>
          <w:tcPr>
            <w:tcW w:type="dxa" w:w="80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200030</w:t>
            </w:r>
          </w:p>
        </w:tc>
        <w:tc>
          <w:tcPr>
            <w:tcW w:type="dxa" w:w="1606"/>
            <w:gridSpan w:val="2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10.000,00</w:t>
            </w:r>
          </w:p>
        </w:tc>
        <w:tc>
          <w:tcPr>
            <w:tcW w:type="dxa" w:w="80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36,00</w:t>
            </w:r>
          </w:p>
        </w:tc>
        <w:tc>
          <w:tcPr>
            <w:tcW w:type="dxa" w:w="805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4,00</w:t>
            </w:r>
          </w:p>
        </w:tc>
      </w:tr>
      <w:tr>
        <w:trPr>
          <w:cantSplit/>
        </w:trPr>
        <w:tc>
          <w:tcPr>
            <w:tcW w:type="dxa" w:w="2409"/>
            <w:gridSpan w:val="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Sabonete 90 g</w:t>
            </w:r>
          </w:p>
        </w:tc>
        <w:tc>
          <w:tcPr>
            <w:tcW w:type="dxa" w:w="1606"/>
            <w:gridSpan w:val="2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3401.11.90</w:t>
            </w:r>
          </w:p>
        </w:tc>
        <w:tc>
          <w:tcPr>
            <w:tcW w:type="dxa" w:w="80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5102</w:t>
            </w:r>
          </w:p>
        </w:tc>
        <w:tc>
          <w:tcPr>
            <w:tcW w:type="dxa" w:w="80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200</w:t>
            </w:r>
          </w:p>
        </w:tc>
        <w:tc>
          <w:tcPr>
            <w:tcW w:type="dxa" w:w="80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200035</w:t>
            </w:r>
          </w:p>
        </w:tc>
        <w:tc>
          <w:tcPr>
            <w:tcW w:type="dxa" w:w="1606"/>
            <w:gridSpan w:val="2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2.000,00</w:t>
            </w:r>
          </w:p>
        </w:tc>
        <w:tc>
          <w:tcPr>
            <w:tcW w:type="dxa" w:w="80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7,20</w:t>
            </w:r>
          </w:p>
        </w:tc>
        <w:tc>
          <w:tcPr>
            <w:tcW w:type="dxa" w:w="805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0,80</w:t>
            </w:r>
          </w:p>
        </w:tc>
      </w:tr>
      <w:tr>
        <w:trPr>
          <w:cantSplit/>
        </w:trPr>
        <w:tc>
          <w:tcPr>
            <w:tcW w:type="dxa" w:w="2409"/>
            <w:gridSpan w:val="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Notebook</w:t>
            </w:r>
          </w:p>
        </w:tc>
        <w:tc>
          <w:tcPr>
            <w:tcW w:type="dxa" w:w="1606"/>
            <w:gridSpan w:val="2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8471.30.12</w:t>
            </w:r>
          </w:p>
        </w:tc>
        <w:tc>
          <w:tcPr>
            <w:tcW w:type="dxa" w:w="80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5102</w:t>
            </w:r>
          </w:p>
        </w:tc>
        <w:tc>
          <w:tcPr>
            <w:tcW w:type="dxa" w:w="80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000</w:t>
            </w:r>
          </w:p>
        </w:tc>
        <w:tc>
          <w:tcPr>
            <w:tcW w:type="dxa" w:w="80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000001</w:t>
            </w:r>
          </w:p>
        </w:tc>
        <w:tc>
          <w:tcPr>
            <w:tcW w:type="dxa" w:w="1606"/>
            <w:gridSpan w:val="2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5.000,00</w:t>
            </w:r>
          </w:p>
        </w:tc>
        <w:tc>
          <w:tcPr>
            <w:tcW w:type="dxa" w:w="80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45,00</w:t>
            </w:r>
          </w:p>
        </w:tc>
        <w:tc>
          <w:tcPr>
            <w:tcW w:type="dxa" w:w="805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5,00</w:t>
            </w:r>
          </w:p>
        </w:tc>
      </w:tr>
      <w:tr>
        <w:trPr>
          <w:cantSplit/>
        </w:trPr>
        <w:tc>
          <w:tcPr>
            <w:tcW w:type="dxa" w:w="9638"/>
            <w:gridSpan w:val="12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Totais (2026, alíquotas de teste):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 base R$ 17.000,00 · CBS R$ 88,20 · IBS R$ 9,80</w:t>
            </w:r>
          </w:p>
        </w:tc>
      </w:tr>
      <w:tr>
        <w:trPr>
          <w:cantSplit/>
        </w:trPr>
        <w:tc>
          <w:tcPr>
            <w:tcW w:type="dxa" w:w="9638"/>
            <w:gridSpan w:val="12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FF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8A5A00"/>
                <w:sz w:val="16"/>
                <w:szCs w:val="16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color w:val="8A5A00"/>
                <w:sz w:val="16"/>
                <w:szCs w:val="16"/>
              </w:rPr>
              <w:t xml:space="preserve">Atenção:</w:t>
            </w:r>
            <w:r>
              <w:rPr>
                <w:rFonts w:ascii="Calibri" w:cs="Calibri" w:eastAsia="Calibri" w:hAnsi="Calibri"/>
                <w:b w:val="false"/>
                <w:bCs w:val="false"/>
                <w:color w:val="8A5A00"/>
                <w:sz w:val="16"/>
                <w:szCs w:val="16"/>
              </w:rPr>
              <w:t xml:space="preserve"> o comprador é hospital </w:t>
            </w:r>
            <w:r>
              <w:rPr>
                <w:rFonts w:ascii="Calibri" w:cs="Calibri" w:eastAsia="Calibri" w:hAnsi="Calibri"/>
                <w:b/>
                <w:bCs/>
                <w:color w:val="8A5A00"/>
                <w:sz w:val="16"/>
                <w:szCs w:val="16"/>
              </w:rPr>
              <w:t xml:space="preserve">privado</w:t>
            </w:r>
            <w:r>
              <w:rPr>
                <w:rFonts w:ascii="Calibri" w:cs="Calibri" w:eastAsia="Calibri" w:hAnsi="Calibri"/>
                <w:b w:val="false"/>
                <w:bCs w:val="false"/>
                <w:color w:val="8A5A00"/>
                <w:sz w:val="16"/>
                <w:szCs w:val="16"/>
              </w:rPr>
              <w:t xml:space="preserve">. A alíquota zero do Anexo IV (200005) só vale para órgão público ou entidade SUS com CEBAS — use </w:t>
            </w:r>
            <w:r>
              <w:rPr>
                <w:rFonts w:ascii="Calibri" w:cs="Calibri" w:eastAsia="Calibri" w:hAnsi="Calibri"/>
                <w:b/>
                <w:bCs/>
                <w:color w:val="8A5A00"/>
                <w:sz w:val="16"/>
                <w:szCs w:val="16"/>
              </w:rPr>
              <w:t xml:space="preserve">200030</w:t>
            </w:r>
            <w:r>
              <w:rPr>
                <w:rFonts w:ascii="Calibri" w:cs="Calibri" w:eastAsia="Calibri" w:hAnsi="Calibri"/>
                <w:b w:val="false"/>
                <w:bCs w:val="false"/>
                <w:color w:val="8A5A00"/>
                <w:sz w:val="16"/>
                <w:szCs w:val="16"/>
              </w:rPr>
              <w:t xml:space="preserve"> (redução de 60%).</w:t>
            </w:r>
          </w:p>
        </w:tc>
      </w:tr>
      <w:tr>
        <w:trPr>
          <w:cantSplit/>
        </w:trPr>
        <w:tc>
          <w:tcPr>
            <w:tcW w:type="dxa" w:w="9638"/>
            <w:gridSpan w:val="12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[ Copiar valores ]    [ Baixar espelho em PDF ]    [ Conferir XML de pré-visualização ]</w:t>
            </w:r>
          </w:p>
        </w:tc>
      </w:tr>
    </w:tbl>
    <w:p>
      <w:pPr>
        <w:spacing w:after="200" w:before="60"/>
      </w:pPr>
      <w:r>
        <w:rPr>
          <w:rFonts w:ascii="Calibri" w:cs="Calibri" w:eastAsia="Calibri" w:hAnsi="Calibri"/>
          <w:i/>
          <w:iCs/>
          <w:color w:val="5B6670"/>
          <w:sz w:val="16"/>
          <w:szCs w:val="16"/>
        </w:rPr>
        <w:t xml:space="preserve">Esboço ilustrativo — o visual final segue o padrão das telas do AthosBI.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5.7 Jornada 5 — Conferir XMLs</w:t>
      </w:r>
    </w:p>
    <w:p>
      <w:pPr>
        <w:pStyle w:val="ListParagraph"/>
        <w:numPr>
          <w:ilvl w:val="0"/>
          <w:numId w:val="8"/>
        </w:numPr>
        <w:spacing w:after="70"/>
      </w:pPr>
      <w:r>
        <w:rPr>
          <w:rFonts w:ascii="Calibri" w:cs="Calibri" w:eastAsia="Calibri" w:hAnsi="Calibri"/>
        </w:rPr>
        <w:t xml:space="preserve">Arrastar os arquivos: XMLs soltos ou um ZIP com centenas de notas.</w:t>
      </w:r>
    </w:p>
    <w:p>
      <w:pPr>
        <w:pStyle w:val="ListParagraph"/>
        <w:numPr>
          <w:ilvl w:val="0"/>
          <w:numId w:val="8"/>
        </w:numPr>
        <w:spacing w:after="70"/>
      </w:pPr>
      <w:r>
        <w:rPr>
          <w:rFonts w:ascii="Calibri" w:cs="Calibri" w:eastAsia="Calibri" w:hAnsi="Calibri"/>
        </w:rPr>
        <w:t xml:space="preserve">O app lê cada nota, identifica a empresa pelo CNPJ do emitente e aplica as regras (capítulo 6).</w:t>
      </w:r>
    </w:p>
    <w:p>
      <w:pPr>
        <w:pStyle w:val="ListParagraph"/>
        <w:numPr>
          <w:ilvl w:val="0"/>
          <w:numId w:val="8"/>
        </w:numPr>
        <w:spacing w:after="70"/>
      </w:pPr>
      <w:r>
        <w:rPr>
          <w:rFonts w:ascii="Calibri" w:cs="Calibri" w:eastAsia="Calibri" w:hAnsi="Calibri"/>
          <w:b/>
          <w:bCs/>
        </w:rPr>
        <w:t xml:space="preserve">Resultado por nota:</w:t>
      </w:r>
      <w:r>
        <w:rPr>
          <w:rFonts w:ascii="Calibri" w:cs="Calibri" w:eastAsia="Calibri" w:hAnsi="Calibri"/>
        </w:rPr>
        <w:t xml:space="preserve"> verde (correta), amarelo (alerta: conferir) ou vermelho (erro).</w:t>
      </w:r>
    </w:p>
    <w:p>
      <w:pPr>
        <w:pStyle w:val="ListParagraph"/>
        <w:numPr>
          <w:ilvl w:val="0"/>
          <w:numId w:val="8"/>
        </w:numPr>
        <w:spacing w:after="70"/>
      </w:pPr>
      <w:r>
        <w:rPr>
          <w:rFonts w:ascii="Calibri" w:cs="Calibri" w:eastAsia="Calibri" w:hAnsi="Calibri"/>
          <w:b/>
          <w:bCs/>
        </w:rPr>
        <w:t xml:space="preserve">Para cada erro:</w:t>
      </w:r>
      <w:r>
        <w:rPr>
          <w:rFonts w:ascii="Calibri" w:cs="Calibri" w:eastAsia="Calibri" w:hAnsi="Calibri"/>
        </w:rPr>
        <w:t xml:space="preserve"> o que está errado, qual seria o certo, a diferença em reais e </w:t>
      </w:r>
      <w:r>
        <w:rPr>
          <w:rFonts w:ascii="Calibri" w:cs="Calibri" w:eastAsia="Calibri" w:hAnsi="Calibri"/>
          <w:b/>
          <w:bCs/>
        </w:rPr>
        <w:t xml:space="preserve">o relógio do prazo de cancelamento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8"/>
        </w:numPr>
        <w:spacing w:after="70"/>
      </w:pPr>
      <w:r>
        <w:rPr>
          <w:rFonts w:ascii="Calibri" w:cs="Calibri" w:eastAsia="Calibri" w:hAnsi="Calibri"/>
          <w:b/>
          <w:bCs/>
        </w:rPr>
        <w:t xml:space="preserve">Ação recomendada:</w:t>
      </w:r>
      <w:r>
        <w:rPr>
          <w:rFonts w:ascii="Calibri" w:cs="Calibri" w:eastAsia="Calibri" w:hAnsi="Calibri"/>
        </w:rPr>
        <w:t xml:space="preserve"> cancelar e reemitir, nota de crédito, nota de débito, nota complementar, ou só ajustar o cadastro para as próximas.</w:t>
      </w:r>
    </w:p>
    <w:p>
      <w:pPr>
        <w:pStyle w:val="ListParagraph"/>
        <w:numPr>
          <w:ilvl w:val="0"/>
          <w:numId w:val="8"/>
        </w:numPr>
        <w:spacing w:after="70"/>
      </w:pPr>
      <w:r>
        <w:rPr>
          <w:rFonts w:ascii="Calibri" w:cs="Calibri" w:eastAsia="Calibri" w:hAnsi="Calibri"/>
          <w:b/>
          <w:bCs/>
        </w:rPr>
        <w:t xml:space="preserve">“Corrigir na origem”:</w:t>
      </w:r>
      <w:r>
        <w:rPr>
          <w:rFonts w:ascii="Calibri" w:cs="Calibri" w:eastAsia="Calibri" w:hAnsi="Calibri"/>
        </w:rPr>
        <w:t xml:space="preserve"> com um clique, o erro vira pendência de ajustar o cadastro do produto, do comprador ou a regra do ERP.</w:t>
      </w:r>
    </w:p>
    <w:p>
      <w:pPr>
        <w:pStyle w:val="ListParagraph"/>
        <w:numPr>
          <w:ilvl w:val="0"/>
          <w:numId w:val="8"/>
        </w:numPr>
        <w:spacing w:after="70"/>
      </w:pPr>
      <w:r>
        <w:rPr>
          <w:rFonts w:ascii="Calibri" w:cs="Calibri" w:eastAsia="Calibri" w:hAnsi="Calibri"/>
        </w:rPr>
        <w:t xml:space="preserve">Relatório em PDF ou Excel para enviar ao cliente.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5"/>
      </w:tblGrid>
      <w:tr>
        <w:trPr>
          <w:cantSplit/>
        </w:trPr>
        <w:tc>
          <w:tcPr>
            <w:tcW w:type="dxa" w:w="9638"/>
            <w:gridSpan w:val="12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Conferir XML — 248 notas de outubro/2026 · Distribuidora Exemplo</w:t>
            </w:r>
          </w:p>
        </w:tc>
      </w:tr>
      <w:tr>
        <w:trPr>
          <w:cantSplit/>
        </w:trPr>
        <w:tc>
          <w:tcPr>
            <w:tcW w:type="dxa" w:w="2409"/>
            <w:gridSpan w:val="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E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7A55"/>
                <w:sz w:val="16"/>
                <w:szCs w:val="16"/>
              </w:rPr>
              <w:t xml:space="preserve">✓ </w:t>
            </w:r>
            <w:r>
              <w:rPr>
                <w:rFonts w:ascii="Calibri" w:cs="Calibri" w:eastAsia="Calibri" w:hAnsi="Calibri"/>
                <w:b/>
                <w:bCs/>
                <w:color w:val="1D7A55"/>
                <w:sz w:val="16"/>
                <w:szCs w:val="16"/>
              </w:rPr>
              <w:t xml:space="preserve">231</w:t>
            </w:r>
            <w:r>
              <w:rPr>
                <w:rFonts w:ascii="Calibri" w:cs="Calibri" w:eastAsia="Calibri" w:hAnsi="Calibri"/>
                <w:b w:val="false"/>
                <w:bCs w:val="false"/>
                <w:color w:val="1D7A55"/>
                <w:sz w:val="16"/>
                <w:szCs w:val="16"/>
              </w:rPr>
              <w:t xml:space="preserve"> corretas</w:t>
            </w:r>
          </w:p>
        </w:tc>
        <w:tc>
          <w:tcPr>
            <w:tcW w:type="dxa" w:w="2409"/>
            <w:gridSpan w:val="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FF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8A5A00"/>
                <w:sz w:val="16"/>
                <w:szCs w:val="16"/>
              </w:rPr>
              <w:t xml:space="preserve">! </w:t>
            </w:r>
            <w:r>
              <w:rPr>
                <w:rFonts w:ascii="Calibri" w:cs="Calibri" w:eastAsia="Calibri" w:hAnsi="Calibri"/>
                <w:b/>
                <w:bCs/>
                <w:color w:val="8A5A00"/>
                <w:sz w:val="16"/>
                <w:szCs w:val="16"/>
              </w:rPr>
              <w:t xml:space="preserve">12</w:t>
            </w:r>
            <w:r>
              <w:rPr>
                <w:rFonts w:ascii="Calibri" w:cs="Calibri" w:eastAsia="Calibri" w:hAnsi="Calibri"/>
                <w:b w:val="false"/>
                <w:bCs w:val="false"/>
                <w:color w:val="8A5A00"/>
                <w:sz w:val="16"/>
                <w:szCs w:val="16"/>
              </w:rPr>
              <w:t xml:space="preserve"> com alerta</w:t>
            </w:r>
          </w:p>
        </w:tc>
        <w:tc>
          <w:tcPr>
            <w:tcW w:type="dxa" w:w="2409"/>
            <w:gridSpan w:val="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D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6"/>
                <w:szCs w:val="16"/>
              </w:rPr>
              <w:t xml:space="preserve">✗ </w:t>
            </w:r>
            <w:r>
              <w:rPr>
                <w:rFonts w:ascii="Calibri" w:cs="Calibri" w:eastAsia="Calibri" w:hAnsi="Calibri"/>
                <w:b/>
                <w:bCs/>
                <w:color w:val="B42318"/>
                <w:sz w:val="16"/>
                <w:szCs w:val="16"/>
              </w:rPr>
              <w:t xml:space="preserve">5</w:t>
            </w: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6"/>
                <w:szCs w:val="16"/>
              </w:rPr>
              <w:t xml:space="preserve"> com erro</w:t>
            </w:r>
          </w:p>
        </w:tc>
        <w:tc>
          <w:tcPr>
            <w:tcW w:type="dxa" w:w="2411"/>
            <w:gridSpan w:val="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4E8C"/>
                <w:sz w:val="16"/>
                <w:szCs w:val="16"/>
              </w:rPr>
              <w:t xml:space="preserve">⏱ </w:t>
            </w:r>
            <w:r>
              <w:rPr>
                <w:rFonts w:ascii="Calibri" w:cs="Calibri" w:eastAsia="Calibri" w:hAnsi="Calibri"/>
                <w:b/>
                <w:bCs/>
                <w:color w:val="1F4E8C"/>
                <w:sz w:val="16"/>
                <w:szCs w:val="16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color w:val="1F4E8C"/>
                <w:sz w:val="16"/>
                <w:szCs w:val="16"/>
              </w:rPr>
              <w:t xml:space="preserve"> ainda dá para cancelar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Nota</w:t>
            </w:r>
          </w:p>
        </w:tc>
        <w:tc>
          <w:tcPr>
            <w:tcW w:type="dxa" w:w="1606"/>
            <w:gridSpan w:val="2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Emissão</w:t>
            </w:r>
          </w:p>
        </w:tc>
        <w:tc>
          <w:tcPr>
            <w:tcW w:type="dxa" w:w="1606"/>
            <w:gridSpan w:val="2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Comprador</w:t>
            </w:r>
          </w:p>
        </w:tc>
        <w:tc>
          <w:tcPr>
            <w:tcW w:type="dxa" w:w="3212"/>
            <w:gridSpan w:val="4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O que achamos</w:t>
            </w:r>
          </w:p>
        </w:tc>
        <w:tc>
          <w:tcPr>
            <w:tcW w:type="dxa" w:w="2411"/>
            <w:gridSpan w:val="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O que fazer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1.245</w:t>
            </w:r>
          </w:p>
        </w:tc>
        <w:tc>
          <w:tcPr>
            <w:tcW w:type="dxa" w:w="1606"/>
            <w:gridSpan w:val="2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26/10 09:12</w:t>
            </w:r>
          </w:p>
        </w:tc>
        <w:tc>
          <w:tcPr>
            <w:tcW w:type="dxa" w:w="1606"/>
            <w:gridSpan w:val="2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Prefeitura de Exemplo</w:t>
            </w:r>
          </w:p>
        </w:tc>
        <w:tc>
          <w:tcPr>
            <w:tcW w:type="dxa" w:w="3212"/>
            <w:gridSpan w:val="4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6"/>
                <w:szCs w:val="16"/>
              </w:rPr>
              <w:t xml:space="preserve">✗ cClassTrib 200030 (60%); o comprador é órgão público: </w:t>
            </w:r>
            <w:r>
              <w:rPr>
                <w:rFonts w:ascii="Calibri" w:cs="Calibri" w:eastAsia="Calibri" w:hAnsi="Calibri"/>
                <w:b/>
                <w:bCs/>
                <w:color w:val="B42318"/>
                <w:sz w:val="16"/>
                <w:szCs w:val="16"/>
              </w:rPr>
              <w:t xml:space="preserve">200005</w:t>
            </w: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6"/>
                <w:szCs w:val="16"/>
              </w:rPr>
              <w:t xml:space="preserve"> (zero)</w:t>
            </w:r>
          </w:p>
        </w:tc>
        <w:tc>
          <w:tcPr>
            <w:tcW w:type="dxa" w:w="2411"/>
            <w:gridSpan w:val="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Cancelar e reemitir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 — faltam 14 h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1.238</w:t>
            </w:r>
          </w:p>
        </w:tc>
        <w:tc>
          <w:tcPr>
            <w:tcW w:type="dxa" w:w="1606"/>
            <w:gridSpan w:val="2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24/10 16:40</w:t>
            </w:r>
          </w:p>
        </w:tc>
        <w:tc>
          <w:tcPr>
            <w:tcW w:type="dxa" w:w="1606"/>
            <w:gridSpan w:val="2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Mercado Bom Preço</w:t>
            </w:r>
          </w:p>
        </w:tc>
        <w:tc>
          <w:tcPr>
            <w:tcW w:type="dxa" w:w="3212"/>
            <w:gridSpan w:val="4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6"/>
                <w:szCs w:val="16"/>
              </w:rPr>
              <w:t xml:space="preserve">✗ Arroz com 000001 (integral); é Cesta Básica: </w:t>
            </w:r>
            <w:r>
              <w:rPr>
                <w:rFonts w:ascii="Calibri" w:cs="Calibri" w:eastAsia="Calibri" w:hAnsi="Calibri"/>
                <w:b/>
                <w:bCs/>
                <w:color w:val="B42318"/>
                <w:sz w:val="16"/>
                <w:szCs w:val="16"/>
              </w:rPr>
              <w:t xml:space="preserve">200003</w:t>
            </w: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6"/>
                <w:szCs w:val="16"/>
              </w:rPr>
              <w:t xml:space="preserve"> (zero)</w:t>
            </w:r>
          </w:p>
        </w:tc>
        <w:tc>
          <w:tcPr>
            <w:tcW w:type="dxa" w:w="2411"/>
            <w:gridSpan w:val="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Prazo vencido: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nota de crédito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 + corrigir o cadastro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1.230</w:t>
            </w:r>
          </w:p>
        </w:tc>
        <w:tc>
          <w:tcPr>
            <w:tcW w:type="dxa" w:w="1606"/>
            <w:gridSpan w:val="2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23/10 11:05</w:t>
            </w:r>
          </w:p>
        </w:tc>
        <w:tc>
          <w:tcPr>
            <w:tcW w:type="dxa" w:w="1606"/>
            <w:gridSpan w:val="2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Hospital Exemplo</w:t>
            </w:r>
          </w:p>
        </w:tc>
        <w:tc>
          <w:tcPr>
            <w:tcW w:type="dxa" w:w="3212"/>
            <w:gridSpan w:val="4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8A5A00"/>
                <w:sz w:val="16"/>
                <w:szCs w:val="16"/>
              </w:rPr>
              <w:t xml:space="preserve">! Produto “Luva nitrílica” ainda não aprovado no catálogo</w:t>
            </w:r>
          </w:p>
        </w:tc>
        <w:tc>
          <w:tcPr>
            <w:tcW w:type="dxa" w:w="2411"/>
            <w:gridSpan w:val="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Aprovar o produto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1.227</w:t>
            </w:r>
          </w:p>
        </w:tc>
        <w:tc>
          <w:tcPr>
            <w:tcW w:type="dxa" w:w="1606"/>
            <w:gridSpan w:val="2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23/10 08:30</w:t>
            </w:r>
          </w:p>
        </w:tc>
        <w:tc>
          <w:tcPr>
            <w:tcW w:type="dxa" w:w="1606"/>
            <w:gridSpan w:val="2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Consumidor final</w:t>
            </w:r>
          </w:p>
        </w:tc>
        <w:tc>
          <w:tcPr>
            <w:tcW w:type="dxa" w:w="3212"/>
            <w:gridSpan w:val="4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6"/>
                <w:szCs w:val="16"/>
              </w:rPr>
              <w:t xml:space="preserve">✗ Base sem o frete cobrado (R$ 50,00): IBS/CBS a menor</w:t>
            </w:r>
          </w:p>
        </w:tc>
        <w:tc>
          <w:tcPr>
            <w:tcW w:type="dxa" w:w="2411"/>
            <w:gridSpan w:val="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Nota complementar + ajustar o ERP</w:t>
            </w:r>
          </w:p>
        </w:tc>
      </w:tr>
    </w:tbl>
    <w:p>
      <w:pPr>
        <w:spacing w:after="200" w:before="60"/>
      </w:pPr>
      <w:r>
        <w:rPr>
          <w:rFonts w:ascii="Calibri" w:cs="Calibri" w:eastAsia="Calibri" w:hAnsi="Calibri"/>
          <w:i/>
          <w:iCs/>
          <w:color w:val="5B6670"/>
          <w:sz w:val="16"/>
          <w:szCs w:val="16"/>
        </w:rPr>
        <w:t xml:space="preserve">Esboço ilustrativo — o visual final segue o padrão das telas do AthosBI.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5.8 Jornada 6 — A rotina do escritório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Todo dia:</w:t>
      </w:r>
      <w:r>
        <w:rPr>
          <w:rFonts w:ascii="Calibri" w:cs="Calibri" w:eastAsia="Calibri" w:hAnsi="Calibri"/>
        </w:rPr>
        <w:t xml:space="preserve"> notas com erro </w:t>
      </w:r>
      <w:r>
        <w:rPr>
          <w:rFonts w:ascii="Calibri" w:cs="Calibri" w:eastAsia="Calibri" w:hAnsi="Calibri"/>
          <w:b/>
          <w:bCs/>
        </w:rPr>
        <w:t xml:space="preserve">ainda dentro do prazo de cancelamento</w:t>
      </w:r>
      <w:r>
        <w:rPr>
          <w:rFonts w:ascii="Calibri" w:cs="Calibri" w:eastAsia="Calibri" w:hAnsi="Calibri"/>
        </w:rPr>
        <w:t xml:space="preserve"> (prioridade máxima, com e-mail ou WhatsApp para o cliente).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Toda semana:</w:t>
      </w:r>
      <w:r>
        <w:rPr>
          <w:rFonts w:ascii="Calibri" w:cs="Calibri" w:eastAsia="Calibri" w:hAnsi="Calibri"/>
        </w:rPr>
        <w:t xml:space="preserve"> fila de produtos para aprovar e clientes com mais erros.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Todo mês, antes de fechar a apuração assistida:</w:t>
      </w:r>
      <w:r>
        <w:rPr>
          <w:rFonts w:ascii="Calibri" w:cs="Calibri" w:eastAsia="Calibri" w:hAnsi="Calibri"/>
        </w:rPr>
        <w:t xml:space="preserve"> relatório de conformidade por cliente e, no futuro, cruzamento com a apuração pré-pronta.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Quando uma tabela oficial muda:</w:t>
      </w:r>
      <w:r>
        <w:rPr>
          <w:rFonts w:ascii="Calibri" w:cs="Calibri" w:eastAsia="Calibri" w:hAnsi="Calibri"/>
        </w:rPr>
        <w:t xml:space="preserve"> o app avisa algo como “a nova versão do cClassTrib afeta 3 clientes e 27 produtos” e mostra quais.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5"/>
      </w:tblGrid>
      <w:tr>
        <w:trPr>
          <w:cantSplit/>
        </w:trPr>
        <w:tc>
          <w:tcPr>
            <w:tcW w:type="dxa" w:w="9638"/>
            <w:gridSpan w:val="12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Carteira — conformidade das notas · outubro/2026</w:t>
            </w:r>
          </w:p>
        </w:tc>
      </w:tr>
      <w:tr>
        <w:trPr>
          <w:cantSplit/>
        </w:trPr>
        <w:tc>
          <w:tcPr>
            <w:tcW w:type="dxa" w:w="2409"/>
            <w:gridSpan w:val="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Cliente</w:t>
            </w:r>
          </w:p>
        </w:tc>
        <w:tc>
          <w:tcPr>
            <w:tcW w:type="dxa" w:w="80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Notas</w:t>
            </w:r>
          </w:p>
        </w:tc>
        <w:tc>
          <w:tcPr>
            <w:tcW w:type="dxa" w:w="80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Erros</w:t>
            </w:r>
          </w:p>
        </w:tc>
        <w:tc>
          <w:tcPr>
            <w:tcW w:type="dxa" w:w="80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Alertas</w:t>
            </w:r>
          </w:p>
        </w:tc>
        <w:tc>
          <w:tcPr>
            <w:tcW w:type="dxa" w:w="1606"/>
            <w:gridSpan w:val="2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Produtos a aprovar</w:t>
            </w:r>
          </w:p>
        </w:tc>
        <w:tc>
          <w:tcPr>
            <w:tcW w:type="dxa" w:w="1606"/>
            <w:gridSpan w:val="2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Prazo correndo</w:t>
            </w:r>
          </w:p>
        </w:tc>
        <w:tc>
          <w:tcPr>
            <w:tcW w:type="dxa" w:w="1608"/>
            <w:gridSpan w:val="2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Conformidade</w:t>
            </w:r>
          </w:p>
        </w:tc>
      </w:tr>
      <w:tr>
        <w:trPr>
          <w:cantSplit/>
        </w:trPr>
        <w:tc>
          <w:tcPr>
            <w:tcW w:type="dxa" w:w="2409"/>
            <w:gridSpan w:val="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Distribuidora Exemplo</w:t>
            </w:r>
          </w:p>
        </w:tc>
        <w:tc>
          <w:tcPr>
            <w:tcW w:type="dxa" w:w="80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248</w:t>
            </w:r>
          </w:p>
        </w:tc>
        <w:tc>
          <w:tcPr>
            <w:tcW w:type="dxa" w:w="80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6"/>
                <w:szCs w:val="16"/>
              </w:rPr>
              <w:t xml:space="preserve">5</w:t>
            </w:r>
          </w:p>
        </w:tc>
        <w:tc>
          <w:tcPr>
            <w:tcW w:type="dxa" w:w="80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12</w:t>
            </w:r>
          </w:p>
        </w:tc>
        <w:tc>
          <w:tcPr>
            <w:tcW w:type="dxa" w:w="1606"/>
            <w:gridSpan w:val="2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3</w:t>
            </w:r>
          </w:p>
        </w:tc>
        <w:tc>
          <w:tcPr>
            <w:tcW w:type="dxa" w:w="1606"/>
            <w:gridSpan w:val="2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⏱ 2</w:t>
            </w:r>
          </w:p>
        </w:tc>
        <w:tc>
          <w:tcPr>
            <w:tcW w:type="dxa" w:w="1608"/>
            <w:gridSpan w:val="2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E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D7A55"/>
                <w:sz w:val="16"/>
                <w:szCs w:val="16"/>
              </w:rPr>
              <w:t xml:space="preserve">92%</w:t>
            </w:r>
          </w:p>
        </w:tc>
      </w:tr>
      <w:tr>
        <w:trPr>
          <w:cantSplit/>
        </w:trPr>
        <w:tc>
          <w:tcPr>
            <w:tcW w:type="dxa" w:w="2409"/>
            <w:gridSpan w:val="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Clínica Exemplo (serviços)</w:t>
            </w:r>
          </w:p>
        </w:tc>
        <w:tc>
          <w:tcPr>
            <w:tcW w:type="dxa" w:w="80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61</w:t>
            </w:r>
          </w:p>
        </w:tc>
        <w:tc>
          <w:tcPr>
            <w:tcW w:type="dxa" w:w="80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0</w:t>
            </w:r>
          </w:p>
        </w:tc>
        <w:tc>
          <w:tcPr>
            <w:tcW w:type="dxa" w:w="80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2</w:t>
            </w:r>
          </w:p>
        </w:tc>
        <w:tc>
          <w:tcPr>
            <w:tcW w:type="dxa" w:w="1606"/>
            <w:gridSpan w:val="2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0</w:t>
            </w:r>
          </w:p>
        </w:tc>
        <w:tc>
          <w:tcPr>
            <w:tcW w:type="dxa" w:w="1606"/>
            <w:gridSpan w:val="2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W w:type="dxa" w:w="1608"/>
            <w:gridSpan w:val="2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E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D7A55"/>
                <w:sz w:val="16"/>
                <w:szCs w:val="16"/>
              </w:rPr>
              <w:t xml:space="preserve">97%</w:t>
            </w:r>
          </w:p>
        </w:tc>
      </w:tr>
      <w:tr>
        <w:trPr>
          <w:cantSplit/>
        </w:trPr>
        <w:tc>
          <w:tcPr>
            <w:tcW w:type="dxa" w:w="2409"/>
            <w:gridSpan w:val="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Mercadinho Exemplo (Simples)</w:t>
            </w:r>
          </w:p>
        </w:tc>
        <w:tc>
          <w:tcPr>
            <w:tcW w:type="dxa" w:w="80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1.310</w:t>
            </w:r>
          </w:p>
        </w:tc>
        <w:tc>
          <w:tcPr>
            <w:tcW w:type="dxa" w:w="80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6"/>
                <w:szCs w:val="16"/>
              </w:rPr>
              <w:t xml:space="preserve">41</w:t>
            </w:r>
          </w:p>
        </w:tc>
        <w:tc>
          <w:tcPr>
            <w:tcW w:type="dxa" w:w="80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88</w:t>
            </w:r>
          </w:p>
        </w:tc>
        <w:tc>
          <w:tcPr>
            <w:tcW w:type="dxa" w:w="1606"/>
            <w:gridSpan w:val="2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57</w:t>
            </w:r>
          </w:p>
        </w:tc>
        <w:tc>
          <w:tcPr>
            <w:tcW w:type="dxa" w:w="1606"/>
            <w:gridSpan w:val="2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⏱ 9</w:t>
            </w:r>
          </w:p>
        </w:tc>
        <w:tc>
          <w:tcPr>
            <w:tcW w:type="dxa" w:w="1608"/>
            <w:gridSpan w:val="2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FF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8A5A00"/>
                <w:sz w:val="16"/>
                <w:szCs w:val="16"/>
              </w:rPr>
              <w:t xml:space="preserve">71%</w:t>
            </w:r>
          </w:p>
        </w:tc>
      </w:tr>
    </w:tbl>
    <w:p>
      <w:pPr>
        <w:spacing w:after="200" w:before="60"/>
      </w:pPr>
      <w:r>
        <w:rPr>
          <w:rFonts w:ascii="Calibri" w:cs="Calibri" w:eastAsia="Calibri" w:hAnsi="Calibri"/>
          <w:i/>
          <w:iCs/>
          <w:color w:val="5B6670"/>
          <w:sz w:val="16"/>
          <w:szCs w:val="16"/>
        </w:rPr>
        <w:t xml:space="preserve">Esboço ilustrativo com empresas e números fictícios.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5.9 Mais ideias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3438"/>
        <w:gridCol w:w="1600"/>
      </w:tblGrid>
      <w:tr>
        <w:trPr>
          <w:cantSplit/>
          <w:tblHeader/>
        </w:trPr>
        <w:tc>
          <w:tcPr>
            <w:tcW w:type="dxa" w:w="4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Ideia</w:t>
            </w:r>
          </w:p>
        </w:tc>
        <w:tc>
          <w:tcPr>
            <w:tcW w:type="dxa" w:w="34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Valor</w:t>
            </w:r>
          </w:p>
        </w:tc>
        <w:tc>
          <w:tcPr>
            <w:tcW w:type="dxa" w:w="1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Quando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Tabela para o ERP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 nos formatos dos ERPs mais usados pelos clientes (começando por planilha genérica)</w:t>
            </w:r>
          </w:p>
        </w:tc>
        <w:tc>
          <w:tcPr>
            <w:tcW w:type="dxa" w:w="34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Corrige a origem do erro em massa</w:t>
            </w:r>
          </w:p>
        </w:tc>
        <w:tc>
          <w:tcPr>
            <w:tcW w:type="dxa" w:w="1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Fase 2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Manual de emissão em PDF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 por cliente (“para vender X para Y, use…”)</w:t>
            </w:r>
          </w:p>
        </w:tc>
        <w:tc>
          <w:tcPr>
            <w:tcW w:type="dxa" w:w="34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Treina o faturamento e fica na mesa de quem emite</w:t>
            </w:r>
          </w:p>
        </w:tc>
        <w:tc>
          <w:tcPr>
            <w:tcW w:type="dxa" w:w="1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Fase 2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Relógio do prazo de cancelamento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 com alerta por e-mail ou WhatsApp</w:t>
            </w:r>
          </w:p>
        </w:tc>
        <w:tc>
          <w:tcPr>
            <w:tcW w:type="dxa" w:w="34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Evita a multa de 33% ou 66%</w:t>
            </w:r>
          </w:p>
        </w:tc>
        <w:tc>
          <w:tcPr>
            <w:tcW w:type="dxa" w:w="1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Fase 4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Conformidade de 0 a 100%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 por cliente e por mês</w:t>
            </w:r>
          </w:p>
        </w:tc>
        <w:tc>
          <w:tcPr>
            <w:tcW w:type="dxa" w:w="34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Mostra o valor do escritório; argumento comercial</w:t>
            </w:r>
          </w:p>
        </w:tc>
        <w:tc>
          <w:tcPr>
            <w:tcW w:type="dxa" w:w="1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Fase 4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Consulta rápida no celular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: “posso usar este código?”</w:t>
            </w:r>
          </w:p>
        </w:tc>
        <w:tc>
          <w:tcPr>
            <w:tcW w:type="dxa" w:w="34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Tira a dúvida na hora</w:t>
            </w:r>
          </w:p>
        </w:tc>
        <w:tc>
          <w:tcPr>
            <w:tcW w:type="dxa" w:w="1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Fase 3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Conferir as notas de compra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 (entradas): o fornecedor destacou certo?</w:t>
            </w:r>
          </w:p>
        </w:tc>
        <w:tc>
          <w:tcPr>
            <w:tcW w:type="dxa" w:w="34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Protege o crédito do cliente (principalmente no Lucro Real)</w:t>
            </w:r>
          </w:p>
        </w:tc>
        <w:tc>
          <w:tcPr>
            <w:tcW w:type="dxa" w:w="1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Fase 4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Simulação 2027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: “como ficaria esta nota em 2027”</w:t>
            </w:r>
          </w:p>
        </w:tc>
        <w:tc>
          <w:tcPr>
            <w:tcW w:type="dxa" w:w="34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Prepara preço e caixa</w:t>
            </w:r>
          </w:p>
        </w:tc>
        <w:tc>
          <w:tcPr>
            <w:tcW w:type="dxa" w:w="1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Fase 3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IA para sugerir o NCM pela descrição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 e explicar em linguagem simples, sempre com revisão humana. A chave da IA fica guardada como segredo no servidor, nunca no navegador</w:t>
            </w:r>
          </w:p>
        </w:tc>
        <w:tc>
          <w:tcPr>
            <w:tcW w:type="dxa" w:w="34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Agiliza a implantação de catálogos grandes</w:t>
            </w:r>
          </w:p>
        </w:tc>
        <w:tc>
          <w:tcPr>
            <w:tcW w:type="dxa" w:w="1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Fase 5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API de pré-validação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 para o ERP do cliente chamar antes de transmitir</w:t>
            </w:r>
          </w:p>
        </w:tc>
        <w:tc>
          <w:tcPr>
            <w:tcW w:type="dxa" w:w="34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Bloqueia o erro antes de existir</w:t>
            </w:r>
          </w:p>
        </w:tc>
        <w:tc>
          <w:tcPr>
            <w:tcW w:type="dxa" w:w="1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Fase 5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Cruzamento com a apuração assistida</w:t>
            </w:r>
          </w:p>
        </w:tc>
        <w:tc>
          <w:tcPr>
            <w:tcW w:type="dxa" w:w="34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Fecha o ciclo: nota × apuração</w:t>
            </w:r>
          </w:p>
        </w:tc>
        <w:tc>
          <w:tcPr>
            <w:tcW w:type="dxa" w:w="1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Fase 5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Mini treinamento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 para o faturamento (casos e perguntas)</w:t>
            </w:r>
          </w:p>
        </w:tc>
        <w:tc>
          <w:tcPr>
            <w:tcW w:type="dxa" w:w="34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Menos erro humano</w:t>
            </w:r>
          </w:p>
        </w:tc>
        <w:tc>
          <w:tcPr>
            <w:tcW w:type="dxa" w:w="1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Quando quiser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Base de conhecimento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: cada cClassTrib explicado com exemplos</w:t>
            </w:r>
          </w:p>
        </w:tc>
        <w:tc>
          <w:tcPr>
            <w:tcW w:type="dxa" w:w="34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Autonomia do cliente</w:t>
            </w:r>
          </w:p>
        </w:tc>
        <w:tc>
          <w:tcPr>
            <w:tcW w:type="dxa" w:w="1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Fase 3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6. Regras de validação</w:t>
      </w:r>
    </w:p>
    <w:p>
      <w:pPr>
        <w:spacing w:after="120"/>
      </w:pPr>
      <w:r>
        <w:rPr>
          <w:rFonts w:ascii="Calibri" w:cs="Calibri" w:eastAsia="Calibri" w:hAnsi="Calibri"/>
        </w:rPr>
        <w:t xml:space="preserve">O catálogo do que o sistema confere, em camadas: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E</w:t>
      </w:r>
      <w:r>
        <w:rPr>
          <w:rFonts w:ascii="Calibri" w:cs="Calibri" w:eastAsia="Calibri" w:hAnsi="Calibri"/>
        </w:rPr>
        <w:t xml:space="preserve"> — estrutura e tabela oficial;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M</w:t>
      </w:r>
      <w:r>
        <w:rPr>
          <w:rFonts w:ascii="Calibri" w:cs="Calibri" w:eastAsia="Calibri" w:hAnsi="Calibri"/>
        </w:rPr>
        <w:t xml:space="preserve"> — matriz fiscal: a classificação certa para o produto e o comprador;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</w:t>
      </w:r>
      <w:r>
        <w:rPr>
          <w:rFonts w:ascii="Calibri" w:cs="Calibri" w:eastAsia="Calibri" w:hAnsi="Calibri"/>
        </w:rPr>
        <w:t xml:space="preserve"> — cálculo;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</w:t>
      </w:r>
      <w:r>
        <w:rPr>
          <w:rFonts w:ascii="Calibri" w:cs="Calibri" w:eastAsia="Calibri" w:hAnsi="Calibri"/>
        </w:rPr>
        <w:t xml:space="preserve"> — documento e eventos;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P</w:t>
      </w:r>
      <w:r>
        <w:rPr>
          <w:rFonts w:ascii="Calibri" w:cs="Calibri" w:eastAsia="Calibri" w:hAnsi="Calibri"/>
        </w:rPr>
        <w:t xml:space="preserve"> — prazo e ação;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R</w:t>
      </w:r>
      <w:r>
        <w:rPr>
          <w:rFonts w:ascii="Calibri" w:cs="Calibri" w:eastAsia="Calibri" w:hAnsi="Calibri"/>
        </w:rPr>
        <w:t xml:space="preserve"> — regime;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X</w:t>
      </w:r>
      <w:r>
        <w:rPr>
          <w:rFonts w:ascii="Calibri" w:cs="Calibri" w:eastAsia="Calibri" w:hAnsi="Calibri"/>
        </w:rPr>
        <w:t xml:space="preserve"> — cruzamentos.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As mesmas regras rodam no </w:t>
      </w:r>
      <w:r>
        <w:rPr>
          <w:rFonts w:ascii="Calibri" w:cs="Calibri" w:eastAsia="Calibri" w:hAnsi="Calibri"/>
          <w:b/>
          <w:bCs/>
        </w:rPr>
        <w:t xml:space="preserve">assistente</w:t>
      </w:r>
      <w:r>
        <w:rPr>
          <w:rFonts w:ascii="Calibri" w:cs="Calibri" w:eastAsia="Calibri" w:hAnsi="Calibri"/>
        </w:rPr>
        <w:t xml:space="preserve"> (antes de emitir, sobre o espelho) e no </w:t>
      </w:r>
      <w:r>
        <w:rPr>
          <w:rFonts w:ascii="Calibri" w:cs="Calibri" w:eastAsia="Calibri" w:hAnsi="Calibri"/>
          <w:b/>
          <w:bCs/>
        </w:rPr>
        <w:t xml:space="preserve">conferidor</w:t>
      </w:r>
      <w:r>
        <w:rPr>
          <w:rFonts w:ascii="Calibri" w:cs="Calibri" w:eastAsia="Calibri" w:hAnsi="Calibri"/>
        </w:rPr>
        <w:t xml:space="preserve"> (depois, sobre o XML).</w:t>
      </w:r>
    </w:p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color w:val="D9622B"/>
          <w:spacing w:val="20"/>
          <w:sz w:val="17"/>
          <w:szCs w:val="17"/>
        </w:rPr>
        <w:t xml:space="preserve">GRAVIDADE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Erro:</w:t>
      </w:r>
      <w:r>
        <w:rPr>
          <w:rFonts w:ascii="Calibri" w:cs="Calibri" w:eastAsia="Calibri" w:hAnsi="Calibri"/>
        </w:rPr>
        <w:t xml:space="preserve"> a nota está errada e precisa de 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Alerta:</w:t>
      </w:r>
      <w:r>
        <w:rPr>
          <w:rFonts w:ascii="Calibri" w:cs="Calibri" w:eastAsia="Calibri" w:hAnsi="Calibri"/>
        </w:rPr>
        <w:t xml:space="preserve"> pode estar errado; precisa de conferência humana.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Ação:</w:t>
      </w:r>
      <w:r>
        <w:rPr>
          <w:rFonts w:ascii="Calibri" w:cs="Calibri" w:eastAsia="Calibri" w:hAnsi="Calibri"/>
        </w:rPr>
        <w:t xml:space="preserve"> o que fazer e até quando.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Info:</w:t>
      </w:r>
      <w:r>
        <w:rPr>
          <w:rFonts w:ascii="Calibri" w:cs="Calibri" w:eastAsia="Calibri" w:hAnsi="Calibri"/>
        </w:rPr>
        <w:t xml:space="preserve"> só para saber.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100"/>
        <w:gridCol w:w="3938"/>
        <w:gridCol w:w="1300"/>
        <w:gridCol w:w="2500"/>
      </w:tblGrid>
      <w:tr>
        <w:trPr>
          <w:cantSplit/>
          <w:tblHeader/>
        </w:trPr>
        <w:tc>
          <w:tcPr>
            <w:tcW w:type="dxa" w:w="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Código</w:t>
            </w:r>
          </w:p>
        </w:tc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Camada</w:t>
            </w:r>
          </w:p>
        </w:tc>
        <w:tc>
          <w:tcPr>
            <w:tcW w:type="dxa" w:w="39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O que confere</w:t>
            </w:r>
          </w:p>
        </w:tc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Gravidade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Exemplo de mensagem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E01</w:t>
            </w:r>
          </w:p>
        </w:tc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Estrutura</w:t>
            </w:r>
          </w:p>
        </w:tc>
        <w:tc>
          <w:tcPr>
            <w:tcW w:type="dxa" w:w="39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XML válido, assinado, autorizado (protocolo) e com chave de acesso correta</w:t>
            </w:r>
          </w:p>
        </w:tc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5"/>
                <w:szCs w:val="15"/>
              </w:rPr>
              <w:t xml:space="preserve">Erro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Arquivo não é uma NF-e autorizada válida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E02</w:t>
            </w:r>
          </w:p>
        </w:tc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Estrutura</w:t>
            </w:r>
          </w:p>
        </w:tc>
        <w:tc>
          <w:tcPr>
            <w:tcW w:type="dxa" w:w="39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Grupo IBS/CBS presente quando obrigatório (regime regular desde 03/08/2026 na NF-e; Simples a partir de 2027)</w:t>
            </w:r>
          </w:p>
        </w:tc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5"/>
                <w:szCs w:val="15"/>
              </w:rPr>
              <w:t xml:space="preserve">Alerta em 2026, erro a partir de 2027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Item sem o grupo IBS/CBS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E03</w:t>
            </w:r>
          </w:p>
        </w:tc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Estrutura</w:t>
            </w:r>
          </w:p>
        </w:tc>
        <w:tc>
          <w:tcPr>
            <w:tcW w:type="dxa" w:w="39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CST existe na tabela vigente na data de emissão</w:t>
            </w:r>
          </w:p>
        </w:tc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5"/>
                <w:szCs w:val="15"/>
              </w:rPr>
              <w:t xml:space="preserve">Erro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CST 999 não existe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E04</w:t>
            </w:r>
          </w:p>
        </w:tc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Estrutura</w:t>
            </w:r>
          </w:p>
        </w:tc>
        <w:tc>
          <w:tcPr>
            <w:tcW w:type="dxa" w:w="39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cClassTrib existe e está vigente na data de emissão</w:t>
            </w:r>
          </w:p>
        </w:tc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5"/>
                <w:szCs w:val="15"/>
              </w:rPr>
              <w:t xml:space="preserve">Erro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cClassTrib fora de vigência em 15/10/2026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E05</w:t>
            </w:r>
          </w:p>
        </w:tc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Estrutura</w:t>
            </w:r>
          </w:p>
        </w:tc>
        <w:tc>
          <w:tcPr>
            <w:tcW w:type="dxa" w:w="39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CST compatível com o cClassTrib (3 primeiros dígitos)</w:t>
            </w:r>
          </w:p>
        </w:tc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5"/>
                <w:szCs w:val="15"/>
              </w:rPr>
              <w:t xml:space="preserve">Erro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CST 000 com cClassTrib 200030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E06</w:t>
            </w:r>
          </w:p>
        </w:tc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Estrutura</w:t>
            </w:r>
          </w:p>
        </w:tc>
        <w:tc>
          <w:tcPr>
            <w:tcW w:type="dxa" w:w="39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cClassTrib permitido para o modelo de documento</w:t>
            </w:r>
          </w:p>
        </w:tc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5"/>
                <w:szCs w:val="15"/>
              </w:rPr>
              <w:t xml:space="preserve">Erro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Código não pode ser usado em NFC-e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E07</w:t>
            </w:r>
          </w:p>
        </w:tc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Estrutura</w:t>
            </w:r>
          </w:p>
        </w:tc>
        <w:tc>
          <w:tcPr>
            <w:tcW w:type="dxa" w:w="39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Grupos obrigatórios e proibidos conforme o cClassTrib (redução, diferimento, crédito presumido…)</w:t>
            </w:r>
          </w:p>
        </w:tc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5"/>
                <w:szCs w:val="15"/>
              </w:rPr>
              <w:t xml:space="preserve">Erro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200030 exige o grupo de redução (gRed)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M01</w:t>
            </w:r>
          </w:p>
        </w:tc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Matriz</w:t>
            </w:r>
          </w:p>
        </w:tc>
        <w:tc>
          <w:tcPr>
            <w:tcW w:type="dxa" w:w="39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Item existe no catálogo e está aprovado</w:t>
            </w:r>
          </w:p>
        </w:tc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5"/>
                <w:szCs w:val="15"/>
              </w:rPr>
              <w:t xml:space="preserve">Alerta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Produto “Luva nitrílica” não aprovado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M02</w:t>
            </w:r>
          </w:p>
        </w:tc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Matriz</w:t>
            </w:r>
          </w:p>
        </w:tc>
        <w:tc>
          <w:tcPr>
            <w:tcW w:type="dxa" w:w="39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cClassTrib igual ao previsto na matriz para produto × operação × comprador</w:t>
            </w:r>
          </w:p>
        </w:tc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5"/>
                <w:szCs w:val="15"/>
              </w:rPr>
              <w:t xml:space="preserve">Erro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Esperado 200035, veio 000001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M03</w:t>
            </w:r>
          </w:p>
        </w:tc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Matriz</w:t>
            </w:r>
          </w:p>
        </w:tc>
        <w:tc>
          <w:tcPr>
            <w:tcW w:type="dxa" w:w="39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Benefício condicionado ao comprador usado para quem não se enquadra</w:t>
            </w:r>
          </w:p>
        </w:tc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5"/>
                <w:szCs w:val="15"/>
              </w:rPr>
              <w:t xml:space="preserve">Erro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200005 para hospital privado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M04</w:t>
            </w:r>
          </w:p>
        </w:tc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Matriz</w:t>
            </w:r>
          </w:p>
        </w:tc>
        <w:tc>
          <w:tcPr>
            <w:tcW w:type="dxa" w:w="39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Produto com benefício no anexo, mas nota com tributação integral</w:t>
            </w:r>
          </w:p>
        </w:tc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5"/>
                <w:szCs w:val="15"/>
              </w:rPr>
              <w:t xml:space="preserve">Alerta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Arroz com 000001: cobra imposto a mais do cliente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M05</w:t>
            </w:r>
          </w:p>
        </w:tc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Matriz</w:t>
            </w:r>
          </w:p>
        </w:tc>
        <w:tc>
          <w:tcPr>
            <w:tcW w:type="dxa" w:w="39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Redução aplicada a NCM/NBS que não está em nenhum anexo</w:t>
            </w:r>
          </w:p>
        </w:tc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5"/>
                <w:szCs w:val="15"/>
              </w:rPr>
              <w:t xml:space="preserve">Erro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Redução de 60% sem base legal (risco de autuação)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M06</w:t>
            </w:r>
          </w:p>
        </w:tc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Matriz</w:t>
            </w:r>
          </w:p>
        </w:tc>
        <w:tc>
          <w:tcPr>
            <w:tcW w:type="dxa" w:w="39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NCM da nota diferente do NCM do catálogo; NCM inexistente ou vencido</w:t>
            </w:r>
          </w:p>
        </w:tc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5"/>
                <w:szCs w:val="15"/>
              </w:rPr>
              <w:t xml:space="preserve">Alerta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NCM 9018.31.90 na nota; catálogo diz 9018.31.19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M07</w:t>
            </w:r>
          </w:p>
        </w:tc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Matriz</w:t>
            </w:r>
          </w:p>
        </w:tc>
        <w:tc>
          <w:tcPr>
            <w:tcW w:type="dxa" w:w="39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CFOP compatível com a operação e o destino (5 dentro do estado, 6 fora, 7 exterior) e com a finalidade</w:t>
            </w:r>
          </w:p>
        </w:tc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5"/>
                <w:szCs w:val="15"/>
              </w:rPr>
              <w:t xml:space="preserve">Erro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CFOP 5102 para comprador de outro estado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M08</w:t>
            </w:r>
          </w:p>
        </w:tc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Matriz</w:t>
            </w:r>
          </w:p>
        </w:tc>
        <w:tc>
          <w:tcPr>
            <w:tcW w:type="dxa" w:w="39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Crédito presumido (cCredPres) só quando previsto</w:t>
            </w:r>
          </w:p>
        </w:tc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5"/>
                <w:szCs w:val="15"/>
              </w:rPr>
              <w:t xml:space="preserve">Alerta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Crédito presumido sem previsão na matriz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C01</w:t>
            </w:r>
          </w:p>
        </w:tc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Cálculo</w:t>
            </w:r>
          </w:p>
        </w:tc>
        <w:tc>
          <w:tcPr>
            <w:tcW w:type="dxa" w:w="39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Base = valor da operação + frete, seguro e despesas cobradas − desconto incondicional (± parâmetros da transição)</w:t>
            </w:r>
          </w:p>
        </w:tc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5"/>
                <w:szCs w:val="15"/>
              </w:rPr>
              <w:t xml:space="preserve">Erro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Base R$ 1.000,00; esperado R$ 950,00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C02</w:t>
            </w:r>
          </w:p>
        </w:tc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Cálculo</w:t>
            </w:r>
          </w:p>
        </w:tc>
        <w:tc>
          <w:tcPr>
            <w:tcW w:type="dxa" w:w="39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Alíquotas de CBS, IBS estadual e IBS municipal do ano de emissão</w:t>
            </w:r>
          </w:p>
        </w:tc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5"/>
                <w:szCs w:val="15"/>
              </w:rPr>
              <w:t xml:space="preserve">Erro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pCBS 0,90 em 2027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C03</w:t>
            </w:r>
          </w:p>
        </w:tc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Cálculo</w:t>
            </w:r>
          </w:p>
        </w:tc>
        <w:tc>
          <w:tcPr>
            <w:tcW w:type="dxa" w:w="39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Redução e alíquota efetiva coerentes com o cClassTrib</w:t>
            </w:r>
          </w:p>
        </w:tc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5"/>
                <w:szCs w:val="15"/>
              </w:rPr>
              <w:t xml:space="preserve">Erro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pRedAliq 40; o código prevê 60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C04</w:t>
            </w:r>
          </w:p>
        </w:tc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Cálculo</w:t>
            </w:r>
          </w:p>
        </w:tc>
        <w:tc>
          <w:tcPr>
            <w:tcW w:type="dxa" w:w="39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Valor = base × alíquota efetiva (tolerância de R$ 0,01 por item)</w:t>
            </w:r>
          </w:p>
        </w:tc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5"/>
                <w:szCs w:val="15"/>
              </w:rPr>
              <w:t xml:space="preserve">Erro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vCBS 90,00; esperado 36,00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C05</w:t>
            </w:r>
          </w:p>
        </w:tc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Cálculo</w:t>
            </w:r>
          </w:p>
        </w:tc>
        <w:tc>
          <w:tcPr>
            <w:tcW w:type="dxa" w:w="39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Totais da nota = soma dos itens</w:t>
            </w:r>
          </w:p>
        </w:tc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5"/>
                <w:szCs w:val="15"/>
              </w:rPr>
              <w:t xml:space="preserve">Erro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Total do IBS diverge da soma dos itens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C06</w:t>
            </w:r>
          </w:p>
        </w:tc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Cálculo</w:t>
            </w:r>
          </w:p>
        </w:tc>
        <w:tc>
          <w:tcPr>
            <w:tcW w:type="dxa" w:w="39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IBS para o estado e o município de destino (relevante a partir de 2029)</w:t>
            </w:r>
          </w:p>
        </w:tc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5"/>
                <w:szCs w:val="15"/>
              </w:rPr>
              <w:t xml:space="preserve">Alerta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IBS municipal com alíquota de outro município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C07</w:t>
            </w:r>
          </w:p>
        </w:tc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Cálculo</w:t>
            </w:r>
          </w:p>
        </w:tc>
        <w:tc>
          <w:tcPr>
            <w:tcW w:type="dxa" w:w="39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Conferência opcional com a Calculadora oficial da Receita</w:t>
            </w:r>
          </w:p>
        </w:tc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B6670"/>
                <w:sz w:val="15"/>
                <w:szCs w:val="15"/>
              </w:rPr>
              <w:t xml:space="preserve">Info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Diferença de R$ 0,02 em relação à Calculadora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D01</w:t>
            </w:r>
          </w:p>
        </w:tc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Documento</w:t>
            </w:r>
          </w:p>
        </w:tc>
        <w:tc>
          <w:tcPr>
            <w:tcW w:type="dxa" w:w="39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Finalidade (finNFe) coerente: normal, complementar, ajuste, devolução, crédito, débito</w:t>
            </w:r>
          </w:p>
        </w:tc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5"/>
                <w:szCs w:val="15"/>
              </w:rPr>
              <w:t xml:space="preserve">Erro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Devolução emitida como venda normal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D02</w:t>
            </w:r>
          </w:p>
        </w:tc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Documento</w:t>
            </w:r>
          </w:p>
        </w:tc>
        <w:tc>
          <w:tcPr>
            <w:tcW w:type="dxa" w:w="39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Nota de crédito ou débito com tipo válido e nota original referenciada</w:t>
            </w:r>
          </w:p>
        </w:tc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5"/>
                <w:szCs w:val="15"/>
              </w:rPr>
              <w:t xml:space="preserve">Erro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Nota de crédito sem a nota original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D03</w:t>
            </w:r>
          </w:p>
        </w:tc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Documento</w:t>
            </w:r>
          </w:p>
        </w:tc>
        <w:tc>
          <w:tcPr>
            <w:tcW w:type="dxa" w:w="39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Devolução referencia a nota original e usa a mesma classificação</w:t>
            </w:r>
          </w:p>
        </w:tc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5"/>
                <w:szCs w:val="15"/>
              </w:rPr>
              <w:t xml:space="preserve">Erro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Devolução com cClassTrib diferente da venda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D04</w:t>
            </w:r>
          </w:p>
        </w:tc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Documento</w:t>
            </w:r>
          </w:p>
        </w:tc>
        <w:tc>
          <w:tcPr>
            <w:tcW w:type="dxa" w:w="39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Nota cancelada: horário do cancelamento × autorização × prazo da UF</w:t>
            </w:r>
          </w:p>
        </w:tc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5"/>
                <w:szCs w:val="15"/>
              </w:rPr>
              <w:t xml:space="preserve">Alerta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Cancelada 30 h depois (prazo da UF: 24 h)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D05</w:t>
            </w:r>
          </w:p>
        </w:tc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Documento</w:t>
            </w:r>
          </w:p>
        </w:tc>
        <w:tc>
          <w:tcPr>
            <w:tcW w:type="dxa" w:w="39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Devolução de nota de outro ano usa as alíquotas da operação original</w:t>
            </w:r>
          </w:p>
        </w:tc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5"/>
                <w:szCs w:val="15"/>
              </w:rPr>
              <w:t xml:space="preserve">Erro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Devolução em 2027 de venda de 2026 com alíquotas de 2027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P01</w:t>
            </w:r>
          </w:p>
        </w:tc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Prazo</w:t>
            </w:r>
          </w:p>
        </w:tc>
        <w:tc>
          <w:tcPr>
            <w:tcW w:type="dxa" w:w="39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Erro dentro do prazo de cancelamento: cancelar e reemitir, com contagem regressiva</w:t>
            </w:r>
          </w:p>
        </w:tc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15"/>
                <w:szCs w:val="15"/>
              </w:rPr>
              <w:t xml:space="preserve">Ação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Faltam 14 h para cancelar sem multa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P02</w:t>
            </w:r>
          </w:p>
        </w:tc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Prazo</w:t>
            </w:r>
          </w:p>
        </w:tc>
        <w:tc>
          <w:tcPr>
            <w:tcW w:type="dxa" w:w="39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Erro fora do prazo: indicar nota de crédito, débito ou complementar</w:t>
            </w:r>
          </w:p>
        </w:tc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15"/>
                <w:szCs w:val="15"/>
              </w:rPr>
              <w:t xml:space="preserve">Ação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Emitir nota de crédito tipo 04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P03</w:t>
            </w:r>
          </w:p>
        </w:tc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Prazo</w:t>
            </w:r>
          </w:p>
        </w:tc>
        <w:tc>
          <w:tcPr>
            <w:tcW w:type="dxa" w:w="39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Mercadoria já circulou: não cancelar; devolução ou nota de crédito</w:t>
            </w:r>
          </w:p>
        </w:tc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15"/>
                <w:szCs w:val="15"/>
              </w:rPr>
              <w:t xml:space="preserve">Ação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Mercadoria entregue: use nota de crédito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R01</w:t>
            </w:r>
          </w:p>
        </w:tc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Regime</w:t>
            </w:r>
          </w:p>
        </w:tc>
        <w:tc>
          <w:tcPr>
            <w:tcW w:type="dxa" w:w="39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Emitente do Simples: confere a opção cadastrada (DAS ou híbrido) com o que está na nota</w:t>
            </w:r>
          </w:p>
        </w:tc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5"/>
                <w:szCs w:val="15"/>
              </w:rPr>
              <w:t xml:space="preserve">Alerta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Empresa optou pelo híbrido e a nota veio como DAS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R02</w:t>
            </w:r>
          </w:p>
        </w:tc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Regime</w:t>
            </w:r>
          </w:p>
        </w:tc>
        <w:tc>
          <w:tcPr>
            <w:tcW w:type="dxa" w:w="39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Comprador do Simples (informativo): crédito limitado ao pago no DAS</w:t>
            </w:r>
          </w:p>
        </w:tc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B6670"/>
                <w:sz w:val="15"/>
                <w:szCs w:val="15"/>
              </w:rPr>
              <w:t xml:space="preserve">Info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Fornecedor do Simples: crédito reduzido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R03</w:t>
            </w:r>
          </w:p>
        </w:tc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Regime</w:t>
            </w:r>
          </w:p>
        </w:tc>
        <w:tc>
          <w:tcPr>
            <w:tcW w:type="dxa" w:w="39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Regimes específicos (combustíveis, financeiro, imóveis…): revisão manual</w:t>
            </w:r>
          </w:p>
        </w:tc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5"/>
                <w:szCs w:val="15"/>
              </w:rPr>
              <w:t xml:space="preserve">Alerta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Operação de regime específico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X01</w:t>
            </w:r>
          </w:p>
        </w:tc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Cruzamento</w:t>
            </w:r>
          </w:p>
        </w:tc>
        <w:tc>
          <w:tcPr>
            <w:tcW w:type="dxa" w:w="39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Notas do mês × apuração assistida (quando a API estiver disponível)</w:t>
            </w:r>
          </w:p>
        </w:tc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5"/>
                <w:szCs w:val="15"/>
              </w:rPr>
              <w:t xml:space="preserve">Alerta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Nota na apuração que não está no controle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X02</w:t>
            </w:r>
          </w:p>
        </w:tc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Cruzamento</w:t>
            </w:r>
          </w:p>
        </w:tc>
        <w:tc>
          <w:tcPr>
            <w:tcW w:type="dxa" w:w="39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Notas de compra: IBS/CBS destacados corretamente pelo fornecedor</w:t>
            </w:r>
          </w:p>
        </w:tc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5"/>
                <w:szCs w:val="15"/>
              </w:rPr>
              <w:t xml:space="preserve">Alerta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Fornecedor com classificação suspeita</w:t>
            </w:r>
          </w:p>
        </w:tc>
      </w:tr>
    </w:tbl>
    <w:p>
      <w:pPr>
        <w:spacing w:after="160"/>
      </w:pPr>
    </w:p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color w:val="D9622B"/>
          <w:spacing w:val="20"/>
          <w:sz w:val="17"/>
          <w:szCs w:val="17"/>
        </w:rPr>
        <w:t xml:space="preserve">COMO CADA MENSAGEM DEVE SER ESCRITA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O que está errado</w:t>
      </w:r>
      <w:r>
        <w:rPr>
          <w:rFonts w:ascii="Calibri" w:cs="Calibri" w:eastAsia="Calibri" w:hAnsi="Calibri"/>
        </w:rPr>
        <w:t xml:space="preserve">, em português simples (“o comprador é órgão público”), e não só o código.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Qual seria o certo</w:t>
      </w:r>
      <w:r>
        <w:rPr>
          <w:rFonts w:ascii="Calibri" w:cs="Calibri" w:eastAsia="Calibri" w:hAnsi="Calibri"/>
        </w:rPr>
        <w:t xml:space="preserve"> e </w:t>
      </w:r>
      <w:r>
        <w:rPr>
          <w:rFonts w:ascii="Calibri" w:cs="Calibri" w:eastAsia="Calibri" w:hAnsi="Calibri"/>
          <w:b/>
          <w:bCs/>
        </w:rPr>
        <w:t xml:space="preserve">por quê</w:t>
      </w:r>
      <w:r>
        <w:rPr>
          <w:rFonts w:ascii="Calibri" w:cs="Calibri" w:eastAsia="Calibri" w:hAnsi="Calibri"/>
        </w:rPr>
        <w:t xml:space="preserve">, com o artigo ou anexo da lei.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Quanto custa</w:t>
      </w:r>
      <w:r>
        <w:rPr>
          <w:rFonts w:ascii="Calibri" w:cs="Calibri" w:eastAsia="Calibri" w:hAnsi="Calibri"/>
        </w:rPr>
        <w:t xml:space="preserve"> a diferença em reais.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O que fazer e até quando</w:t>
      </w:r>
      <w:r>
        <w:rPr>
          <w:rFonts w:ascii="Calibri" w:cs="Calibri" w:eastAsia="Calibri" w:hAnsi="Calibri"/>
        </w:rPr>
        <w:t xml:space="preserve"> (cancelar em 14 h; nota de crédito; ajustar o cadastro).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Como evitar da próxima vez</w:t>
      </w:r>
      <w:r>
        <w:rPr>
          <w:rFonts w:ascii="Calibri" w:cs="Calibri" w:eastAsia="Calibri" w:hAnsi="Calibri"/>
        </w:rPr>
        <w:t xml:space="preserve"> (link para o cadastro do produto ou do comprador).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7. Exemplos resolvidos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B6670"/>
        </w:rPr>
        <w:t xml:space="preserve">Valores com as alíquotas de teste de 2026, salvo indicação. Os enquadramentos foram conferidos com a base dos anexos da LC 214 que o AthosBI usa.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Exemplo 1 — Seringa para hospital privado com o código do SUS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Nota:</w:t>
      </w:r>
      <w:r>
        <w:rPr>
          <w:rFonts w:ascii="Calibri" w:cs="Calibri" w:eastAsia="Calibri" w:hAnsi="Calibri"/>
        </w:rPr>
        <w:t xml:space="preserve"> seringas (NCM 9018.31.19), R$ 10.000,00, comprador hospital privado, cClassTrib </w:t>
      </w:r>
      <w:r>
        <w:rPr>
          <w:rFonts w:ascii="Calibri" w:cs="Calibri" w:eastAsia="Calibri" w:hAnsi="Calibri"/>
          <w:b/>
          <w:bCs/>
        </w:rPr>
        <w:t xml:space="preserve">200005</w:t>
      </w:r>
      <w:r>
        <w:rPr>
          <w:rFonts w:ascii="Calibri" w:cs="Calibri" w:eastAsia="Calibri" w:hAnsi="Calibri"/>
        </w:rPr>
        <w:t xml:space="preserve"> (alíquota zero).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Achado:</w:t>
      </w:r>
      <w:r>
        <w:rPr>
          <w:rFonts w:ascii="Calibri" w:cs="Calibri" w:eastAsia="Calibri" w:hAnsi="Calibri"/>
        </w:rPr>
        <w:t xml:space="preserve"> regra M03. O 200005 (art. 144, II) só vale para órgão público ou entidade de saúde imune com CEBAS.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Correto:</w:t>
      </w:r>
      <w:r>
        <w:rPr>
          <w:rFonts w:ascii="Calibri" w:cs="Calibri" w:eastAsia="Calibri" w:hAnsi="Calibri"/>
        </w:rPr>
        <w:t xml:space="preserve"> </w:t>
      </w:r>
      <w:r>
        <w:rPr>
          <w:rFonts w:ascii="Calibri" w:cs="Calibri" w:eastAsia="Calibri" w:hAnsi="Calibri"/>
          <w:b/>
          <w:bCs/>
        </w:rPr>
        <w:t xml:space="preserve">200030</w:t>
      </w:r>
      <w:r>
        <w:rPr>
          <w:rFonts w:ascii="Calibri" w:cs="Calibri" w:eastAsia="Calibri" w:hAnsi="Calibri"/>
        </w:rPr>
        <w:t xml:space="preserve"> (Anexo IV, item 59, redução de 60%). CBS R$ 36,00 e IBS R$ 4,00 em 2026; em 2027 (CBS ilustrativa de 9%), cerca de R$ 364.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Ação:</w:t>
      </w:r>
      <w:r>
        <w:rPr>
          <w:rFonts w:ascii="Calibri" w:cs="Calibri" w:eastAsia="Calibri" w:hAnsi="Calibri"/>
        </w:rPr>
        <w:t xml:space="preserve"> dentro do prazo, cancelar e reemitir. Fora do prazo, nota de débito ou complementar, conforme a NT </w:t>
      </w:r>
      <w:r>
        <w:rPr>
          <w:rFonts w:ascii="Calibri" w:cs="Calibri" w:eastAsia="Calibri" w:hAnsi="Calibri"/>
          <w:b/>
          <w:bCs/>
        </w:rPr>
        <w:t xml:space="preserve">(conferir)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Origem:</w:t>
      </w:r>
      <w:r>
        <w:rPr>
          <w:rFonts w:ascii="Calibri" w:cs="Calibri" w:eastAsia="Calibri" w:hAnsi="Calibri"/>
        </w:rPr>
        <w:t xml:space="preserve"> o perfil do comprador estava errado, ou o ERP usava 200005 para todos. Corrigir o cadastro ou a regra.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Exemplo 2 — Arroz tributado como produto comum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Nota:</w:t>
      </w:r>
      <w:r>
        <w:rPr>
          <w:rFonts w:ascii="Calibri" w:cs="Calibri" w:eastAsia="Calibri" w:hAnsi="Calibri"/>
        </w:rPr>
        <w:t xml:space="preserve"> arroz (NCM 1006.30.21), R$ 10.000,00, cClassTrib </w:t>
      </w:r>
      <w:r>
        <w:rPr>
          <w:rFonts w:ascii="Calibri" w:cs="Calibri" w:eastAsia="Calibri" w:hAnsi="Calibri"/>
          <w:b/>
          <w:bCs/>
        </w:rPr>
        <w:t xml:space="preserve">000001</w:t>
      </w:r>
      <w:r>
        <w:rPr>
          <w:rFonts w:ascii="Calibri" w:cs="Calibri" w:eastAsia="Calibri" w:hAnsi="Calibri"/>
        </w:rPr>
        <w:t xml:space="preserve">, CBS R$ 90,00 e IBS R$ 10,00.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Achado:</w:t>
      </w:r>
      <w:r>
        <w:rPr>
          <w:rFonts w:ascii="Calibri" w:cs="Calibri" w:eastAsia="Calibri" w:hAnsi="Calibri"/>
        </w:rPr>
        <w:t xml:space="preserve"> regra M04. O arroz é da Cesta Básica Nacional (Anexo I, item 1): alíquota zero, </w:t>
      </w:r>
      <w:r>
        <w:rPr>
          <w:rFonts w:ascii="Calibri" w:cs="Calibri" w:eastAsia="Calibri" w:hAnsi="Calibri"/>
          <w:b/>
          <w:bCs/>
        </w:rPr>
        <w:t xml:space="preserve">200003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Impacto:</w:t>
      </w:r>
      <w:r>
        <w:rPr>
          <w:rFonts w:ascii="Calibri" w:cs="Calibri" w:eastAsia="Calibri" w:hAnsi="Calibri"/>
        </w:rPr>
        <w:t xml:space="preserve"> o cliente cobrou imposto a mais do comprador. Ele perde competitividade, e o comprador fica com crédito indevido.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Ação:</w:t>
      </w:r>
      <w:r>
        <w:rPr>
          <w:rFonts w:ascii="Calibri" w:cs="Calibri" w:eastAsia="Calibri" w:hAnsi="Calibri"/>
        </w:rPr>
        <w:t xml:space="preserve"> nota de crédito tipo 04 (redução de valores) e ajuste do cadastro do produto.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Exemplo 3 — Mensalidade escolar na NFS-e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Nota:</w:t>
      </w:r>
      <w:r>
        <w:rPr>
          <w:rFonts w:ascii="Calibri" w:cs="Calibri" w:eastAsia="Calibri" w:hAnsi="Calibri"/>
        </w:rPr>
        <w:t xml:space="preserve"> NFS-e de ensino infantil (NBS 1.2201.20.00), R$ 2.000,00, cClassTrib 000001.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Achado:</w:t>
      </w:r>
      <w:r>
        <w:rPr>
          <w:rFonts w:ascii="Calibri" w:cs="Calibri" w:eastAsia="Calibri" w:hAnsi="Calibri"/>
        </w:rPr>
        <w:t xml:space="preserve"> regra M04. Educação está no Anexo II (item 1, ensino infantil): redução de 60%, </w:t>
      </w:r>
      <w:r>
        <w:rPr>
          <w:rFonts w:ascii="Calibri" w:cs="Calibri" w:eastAsia="Calibri" w:hAnsi="Calibri"/>
          <w:b/>
          <w:bCs/>
        </w:rPr>
        <w:t xml:space="preserve">200028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Correto:</w:t>
      </w:r>
      <w:r>
        <w:rPr>
          <w:rFonts w:ascii="Calibri" w:cs="Calibri" w:eastAsia="Calibri" w:hAnsi="Calibri"/>
        </w:rPr>
        <w:t xml:space="preserve"> CBS de 2026 = 2.000 × 0,36% = R$ 7,20; IBS = 2.000 × 0,04% = R$ 0,80. Conferir também o cIndOp, que define o local do IBS.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Exemplo 4 — Base de cálculo sem frete e com desconto mal lançado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Nota:</w:t>
      </w:r>
      <w:r>
        <w:rPr>
          <w:rFonts w:ascii="Calibri" w:cs="Calibri" w:eastAsia="Calibri" w:hAnsi="Calibri"/>
        </w:rPr>
        <w:t xml:space="preserve"> produto de R$ 1.000,00 com frete cobrado de R$ 50,00 e desconto incondicional de R$ 100,00. A nota saiu com base de R$ 1.000,00.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Correto:</w:t>
      </w:r>
      <w:r>
        <w:rPr>
          <w:rFonts w:ascii="Calibri" w:cs="Calibri" w:eastAsia="Calibri" w:hAnsi="Calibri"/>
        </w:rPr>
        <w:t xml:space="preserve"> base = 1.000 + 50 − 100 = </w:t>
      </w:r>
      <w:r>
        <w:rPr>
          <w:rFonts w:ascii="Calibri" w:cs="Calibri" w:eastAsia="Calibri" w:hAnsi="Calibri"/>
          <w:b/>
          <w:bCs/>
        </w:rPr>
        <w:t xml:space="preserve">R$ 950,00</w:t>
      </w:r>
      <w:r>
        <w:rPr>
          <w:rFonts w:ascii="Calibri" w:cs="Calibri" w:eastAsia="Calibri" w:hAnsi="Calibri"/>
        </w:rPr>
        <w:t xml:space="preserve"> (regra C01).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Se o desconto fosse condicional</w:t>
      </w:r>
      <w:r>
        <w:rPr>
          <w:rFonts w:ascii="Calibri" w:cs="Calibri" w:eastAsia="Calibri" w:hAnsi="Calibri"/>
        </w:rPr>
        <w:t xml:space="preserve"> (ex.: pagar até o dia 10), ele não sairia da base, e a base seria R$ 1.050,00.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Origem:</w:t>
      </w:r>
      <w:r>
        <w:rPr>
          <w:rFonts w:ascii="Calibri" w:cs="Calibri" w:eastAsia="Calibri" w:hAnsi="Calibri"/>
        </w:rPr>
        <w:t xml:space="preserve"> configuração do ERP. Ajustar a regra de base.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Exemplo 5 — Devolução em 2027 de uma venda de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Situação:</w:t>
      </w:r>
      <w:r>
        <w:rPr>
          <w:rFonts w:ascii="Calibri" w:cs="Calibri" w:eastAsia="Calibri" w:hAnsi="Calibri"/>
        </w:rPr>
        <w:t xml:space="preserve"> venda em dezembro/2026 (CBS 0,9%, IBS 0,1%), devolvida em fevereiro/2027.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Correto:</w:t>
      </w:r>
      <w:r>
        <w:rPr>
          <w:rFonts w:ascii="Calibri" w:cs="Calibri" w:eastAsia="Calibri" w:hAnsi="Calibri"/>
        </w:rPr>
        <w:t xml:space="preserve"> a devolução usa a mesma classificação e as </w:t>
      </w:r>
      <w:r>
        <w:rPr>
          <w:rFonts w:ascii="Calibri" w:cs="Calibri" w:eastAsia="Calibri" w:hAnsi="Calibri"/>
          <w:b/>
          <w:bCs/>
        </w:rPr>
        <w:t xml:space="preserve">alíquotas da operação original</w:t>
      </w:r>
      <w:r>
        <w:rPr>
          <w:rFonts w:ascii="Calibri" w:cs="Calibri" w:eastAsia="Calibri" w:hAnsi="Calibri"/>
        </w:rPr>
        <w:t xml:space="preserve">, e não as de 2027 (regra D05) </w:t>
      </w:r>
      <w:r>
        <w:rPr>
          <w:rFonts w:ascii="Calibri" w:cs="Calibri" w:eastAsia="Calibri" w:hAnsi="Calibri"/>
          <w:b/>
          <w:bCs/>
        </w:rPr>
        <w:t xml:space="preserve">(conferir o dispositivo exato na LC 214/227)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Risco:</w:t>
      </w:r>
      <w:r>
        <w:rPr>
          <w:rFonts w:ascii="Calibri" w:cs="Calibri" w:eastAsia="Calibri" w:hAnsi="Calibri"/>
        </w:rPr>
        <w:t xml:space="preserve"> estornar com 9% uma venda tributada a 0,9% gera um crédito indevido enorme, que vira autuação.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8. Dados oficiais e integrações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8.1 Tabelas oficiais (versionadas por data)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138"/>
        <w:gridCol w:w="3000"/>
      </w:tblGrid>
      <w:tr>
        <w:trPr>
          <w:cantSplit/>
          <w:tblHeader/>
        </w:trPr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Tabela</w:t>
            </w:r>
          </w:p>
        </w:tc>
        <w:tc>
          <w:tcPr>
            <w:tcW w:type="dxa" w:w="41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Fonte</w:t>
            </w:r>
          </w:p>
        </w:tc>
        <w:tc>
          <w:tcPr>
            <w:tcW w:type="dxa" w:w="3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Uso no app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CST e cClassTrib, cCredPres</w:t>
            </w:r>
          </w:p>
        </w:tc>
        <w:tc>
          <w:tcPr>
            <w:tcW w:type="dxa" w:w="41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Portal da NF-e — Informe Técnico 2025.002 (planilhas e versões)</w:t>
            </w:r>
          </w:p>
        </w:tc>
        <w:tc>
          <w:tcPr>
            <w:tcW w:type="dxa" w:w="3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Regras E03 a E07, M02 a M05 e C03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Anexos da LC 214 por NCM/NBS</w:t>
            </w:r>
          </w:p>
        </w:tc>
        <w:tc>
          <w:tcPr>
            <w:tcW w:type="dxa" w:w="41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Calculadora da Receita (módulo offline) — já no AthosBI</w:t>
            </w:r>
          </w:p>
        </w:tc>
        <w:tc>
          <w:tcPr>
            <w:tcW w:type="dxa" w:w="3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Sugestão do enquadramento e regras M04 e M05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NCM</w:t>
            </w:r>
          </w:p>
        </w:tc>
        <w:tc>
          <w:tcPr>
            <w:tcW w:type="dxa" w:w="41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Portal Único Siscomex (Classif) e TIPI</w:t>
            </w:r>
          </w:p>
        </w:tc>
        <w:tc>
          <w:tcPr>
            <w:tcW w:type="dxa" w:w="3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Validar se o NCM existe e está vigente (M06)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NBS e correlação de serviços</w:t>
            </w:r>
          </w:p>
        </w:tc>
        <w:tc>
          <w:tcPr>
            <w:tcW w:type="dxa" w:w="41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Portal da NFS-e nacional — anexos VII (cIndOp) e VIII</w:t>
            </w:r>
          </w:p>
        </w:tc>
        <w:tc>
          <w:tcPr>
            <w:tcW w:type="dxa" w:w="3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Serviços: classificação e local da incidência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CFOP</w:t>
            </w:r>
          </w:p>
        </w:tc>
        <w:tc>
          <w:tcPr>
            <w:tcW w:type="dxa" w:w="41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Convênio s/nº de 1970 (tabela de CFOP)</w:t>
            </w:r>
          </w:p>
        </w:tc>
        <w:tc>
          <w:tcPr>
            <w:tcW w:type="dxa" w:w="3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Regra M07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Municípios (IBGE)</w:t>
            </w:r>
          </w:p>
        </w:tc>
        <w:tc>
          <w:tcPr>
            <w:tcW w:type="dxa" w:w="41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IBGE</w:t>
            </w:r>
          </w:p>
        </w:tc>
        <w:tc>
          <w:tcPr>
            <w:tcW w:type="dxa" w:w="3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Destino do IBS municipal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Natureza jurídica (CNPJ)</w:t>
            </w:r>
          </w:p>
        </w:tc>
        <w:tc>
          <w:tcPr>
            <w:tcW w:type="dxa" w:w="41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Receita Federal (dados abertos do CNPJ)</w:t>
            </w:r>
          </w:p>
        </w:tc>
        <w:tc>
          <w:tcPr>
            <w:tcW w:type="dxa" w:w="3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Perfil do comprador: órgão público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Alíquotas por ano</w:t>
            </w:r>
          </w:p>
        </w:tc>
        <w:tc>
          <w:tcPr>
            <w:tcW w:type="dxa" w:w="41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LC 214 e a resolução do Senado (quando sair) — editável pelo escritório</w:t>
            </w:r>
          </w:p>
        </w:tc>
        <w:tc>
          <w:tcPr>
            <w:tcW w:type="dxa" w:w="3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Regra C02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</w:rPr>
        <w:t xml:space="preserve">Cada conferência guarda </w:t>
      </w:r>
      <w:r>
        <w:rPr>
          <w:rFonts w:ascii="Calibri" w:cs="Calibri" w:eastAsia="Calibri" w:hAnsi="Calibri"/>
          <w:b/>
          <w:bCs/>
        </w:rPr>
        <w:t xml:space="preserve">quais versões</w:t>
      </w:r>
      <w:r>
        <w:rPr>
          <w:rFonts w:ascii="Calibri" w:cs="Calibri" w:eastAsia="Calibri" w:hAnsi="Calibri"/>
        </w:rPr>
        <w:t xml:space="preserve"> das tabelas foram usadas. A regra vale pela </w:t>
      </w:r>
      <w:r>
        <w:rPr>
          <w:rFonts w:ascii="Calibri" w:cs="Calibri" w:eastAsia="Calibri" w:hAnsi="Calibri"/>
          <w:b/>
          <w:bCs/>
        </w:rPr>
        <w:t xml:space="preserve">data de emissão da nota</w:t>
      </w:r>
      <w:r>
        <w:rPr>
          <w:rFonts w:ascii="Calibri" w:cs="Calibri" w:eastAsia="Calibri" w:hAnsi="Calibri"/>
        </w:rPr>
        <w:t xml:space="preserve">, não pela data da conferência.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8.2 Calculadora oficial da Receita (RTC)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Calculadora online:</w:t>
      </w:r>
      <w:r>
        <w:rPr>
          <w:rFonts w:ascii="Calibri" w:cs="Calibri" w:eastAsia="Calibri" w:hAnsi="Calibri"/>
        </w:rPr>
        <w:t xml:space="preserve"> simulador e um </w:t>
      </w:r>
      <w:r>
        <w:rPr>
          <w:rFonts w:ascii="Calibri" w:cs="Calibri" w:eastAsia="Calibri" w:hAnsi="Calibri"/>
          <w:b/>
          <w:bCs/>
        </w:rPr>
        <w:t xml:space="preserve">validador de XML oficial</w:t>
      </w:r>
      <w:r>
        <w:rPr>
          <w:rFonts w:ascii="Calibri" w:cs="Calibri" w:eastAsia="Calibri" w:hAnsi="Calibri"/>
        </w:rPr>
        <w:t xml:space="preserve"> no ambiente piloto. É bom para tirar a prova dos nossos cálculos.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Módulo offline:</w:t>
      </w:r>
      <w:r>
        <w:rPr>
          <w:rFonts w:ascii="Calibri" w:cs="Calibri" w:eastAsia="Calibri" w:hAnsi="Calibri"/>
        </w:rPr>
        <w:t xml:space="preserve"> imagem Docker (cerca de 260 MB) ou JAR, com </w:t>
      </w:r>
      <w:r>
        <w:rPr>
          <w:rFonts w:ascii="Calibri" w:cs="Calibri" w:eastAsia="Calibri" w:hAnsi="Calibri"/>
          <w:b/>
          <w:bCs/>
        </w:rPr>
        <w:t xml:space="preserve">API REST local</w:t>
      </w:r>
      <w:r>
        <w:rPr>
          <w:rFonts w:ascii="Calibri" w:cs="Calibri" w:eastAsia="Calibri" w:hAnsi="Calibri"/>
        </w:rPr>
        <w:t xml:space="preserve"> e documentação Swagger. Tem APIs separadas para o regime geral e para o Simples.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Uso no app:</w:t>
      </w:r>
      <w:r>
        <w:rPr>
          <w:rFonts w:ascii="Calibri" w:cs="Calibri" w:eastAsia="Calibri" w:hAnsi="Calibri"/>
        </w:rPr>
        <w:t xml:space="preserve"> fonte dos dados dos anexos (já usamos) e conferência opcional dos cálculos (regra C07). Rodar o módulo offline exige um servidor; no início, basta o nosso motor e uma conferência por amostragem na calculadora online.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8.3 De onde vêm os XMLs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5038"/>
      </w:tblGrid>
      <w:tr>
        <w:trPr>
          <w:cantSplit/>
          <w:tblHeader/>
        </w:trPr>
        <w:tc>
          <w:tcPr>
            <w:tcW w:type="dxa" w:w="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Fase</w:t>
            </w:r>
          </w:p>
        </w:tc>
        <w:tc>
          <w:tcPr>
            <w:tcW w:type="dxa" w:w="3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Fonte</w:t>
            </w:r>
          </w:p>
        </w:tc>
        <w:tc>
          <w:tcPr>
            <w:tcW w:type="dxa" w:w="50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Prós e contras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1</w:t>
            </w:r>
          </w:p>
        </w:tc>
        <w:tc>
          <w:tcPr>
            <w:tcW w:type="dxa" w:w="3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Upload manual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 (XML solto ou ZIP)</w:t>
            </w:r>
          </w:p>
        </w:tc>
        <w:tc>
          <w:tcPr>
            <w:tcW w:type="dxa" w:w="50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Simples, sem integração; depende de alguém enviar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2</w:t>
            </w:r>
          </w:p>
        </w:tc>
        <w:tc>
          <w:tcPr>
            <w:tcW w:type="dxa" w:w="3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Pasta compartilhada ou e-mail de recebimento por cliente</w:t>
            </w:r>
          </w:p>
        </w:tc>
        <w:tc>
          <w:tcPr>
            <w:tcW w:type="dxa" w:w="50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Menos esforço para o cliente; precisa de rotina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3</w:t>
            </w:r>
          </w:p>
        </w:tc>
        <w:tc>
          <w:tcPr>
            <w:tcW w:type="dxa" w:w="3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Distribuição DF-e da SEFAZ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 com o certificado A1 do cliente</w:t>
            </w:r>
          </w:p>
        </w:tc>
        <w:tc>
          <w:tcPr>
            <w:tcW w:type="dxa" w:w="50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Automático para notas recebidas (e emitidas, conforme a UF); exige guardar o certificado com muita segurança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3</w:t>
            </w:r>
          </w:p>
        </w:tc>
        <w:tc>
          <w:tcPr>
            <w:tcW w:type="dxa" w:w="3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ADN da NFS-e nacional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 (API)</w:t>
            </w:r>
          </w:p>
        </w:tc>
        <w:tc>
          <w:tcPr>
            <w:tcW w:type="dxa" w:w="50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Automático para as NFS-e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3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Domínio (via Central) —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somente leitura</w:t>
            </w:r>
          </w:p>
        </w:tc>
        <w:tc>
          <w:tcPr>
            <w:tcW w:type="dxa" w:w="50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Já temos o resumo fiscal; ver se dá para trazer o detalhe por nota, sempre só SELECT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8.4 Consulta de CNPJ</w:t>
      </w:r>
    </w:p>
    <w:p>
      <w:pPr>
        <w:spacing w:after="120"/>
      </w:pPr>
      <w:r>
        <w:rPr>
          <w:rFonts w:ascii="Calibri" w:cs="Calibri" w:eastAsia="Calibri" w:hAnsi="Calibri"/>
        </w:rPr>
        <w:t xml:space="preserve">Para montar o perfil do comprador: razão social, endereço, natureza jurídica e opção pelo Simples. Há APIs públicas gratuitas (com limite de uso) e os dados abertos da Receita. O app guarda o resultado para não consultar de novo a cada nota.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9. Como construir dentro do AthosBI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9.1 Onde fica</w:t>
      </w:r>
    </w:p>
    <w:p>
      <w:pPr>
        <w:spacing w:after="120"/>
      </w:pPr>
      <w:r>
        <w:rPr>
          <w:rFonts w:ascii="Calibri" w:cs="Calibri" w:eastAsia="Calibri" w:hAnsi="Calibri"/>
        </w:rPr>
        <w:t xml:space="preserve">Dentro do </w:t>
      </w:r>
      <w:r>
        <w:rPr>
          <w:rFonts w:ascii="Calibri" w:cs="Calibri" w:eastAsia="Calibri" w:hAnsi="Calibri"/>
          <w:b/>
          <w:bCs/>
        </w:rPr>
        <w:t xml:space="preserve">módulo Reforma</w:t>
      </w:r>
      <w:r>
        <w:rPr>
          <w:rFonts w:ascii="Calibri" w:cs="Calibri" w:eastAsia="Calibri" w:hAnsi="Calibri"/>
        </w:rPr>
        <w:t xml:space="preserve">, com o mesmo login. Aproveita o que já existe: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 cadastro de empresas da Reforma;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 liberação de acesso por e-mail;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 “escritório da Reforma”, que vê todos os clientes;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 base dos anexos da LC 214.</w:t>
      </w:r>
    </w:p>
    <w:p>
      <w:pPr>
        <w:spacing w:after="120"/>
      </w:pPr>
      <w:r>
        <w:rPr>
          <w:rFonts w:ascii="Calibri" w:cs="Calibri" w:eastAsia="Calibri" w:hAnsi="Calibri"/>
        </w:rPr>
        <w:t xml:space="preserve">O cliente só vê a própria empresa.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9.2 Tabelas novas no banco (Supabase)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Tabela</w:t>
            </w:r>
          </w:p>
        </w:tc>
        <w:tc>
          <w:tcPr>
            <w:tcW w:type="dxa" w:w="70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 que guarda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nc_tabelas_oficiais</w:t>
            </w:r>
          </w:p>
        </w:tc>
        <w:tc>
          <w:tcPr>
            <w:tcW w:type="dxa" w:w="70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Tipo (cClassTrib, NCM, NBS, cIndOp), versão, vigência, conteúdo, fonte e hash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nc_empresa_perfil</w:t>
            </w:r>
          </w:p>
        </w:tc>
        <w:tc>
          <w:tcPr>
            <w:tcW w:type="dxa" w:w="70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Perfil fiscal da empresa da Reforma: regime, CRT, UF, município, CNAE, operações, ERP, prazo de cancelamento, opção do Simples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nc_produtos</w:t>
            </w:r>
          </w:p>
        </w:tc>
        <w:tc>
          <w:tcPr>
            <w:tcW w:type="dxa" w:w="70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Catálogo: código interno, descrição, NCM/NBS, unidade, status, classificação sugerida e aprovada, justificativa, quem aprovou e quando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nc_compradores</w:t>
            </w:r>
          </w:p>
        </w:tc>
        <w:tc>
          <w:tcPr>
            <w:tcW w:type="dxa" w:w="70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Perfil dos compradores: CNPJ/CPF, tipo, UF e município, origem do perfil, comprovantes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nc_matriz</w:t>
            </w:r>
          </w:p>
        </w:tc>
        <w:tc>
          <w:tcPr>
            <w:tcW w:type="dxa" w:w="70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Regras: produto ou grupo × operação × perfil do comprador × destino → CFOP, CST, cClassTrib, cCredPres, redução, observação, vigência, versão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nc_notas</w:t>
            </w:r>
          </w:p>
        </w:tc>
        <w:tc>
          <w:tcPr>
            <w:tcW w:type="dxa" w:w="70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Resumo de cada nota conferida: chave, modelo, número, emissão, autorização, valores, situação, origem, versões das tabelas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nc_achados</w:t>
            </w:r>
          </w:p>
        </w:tc>
        <w:tc>
          <w:tcPr>
            <w:tcW w:type="dxa" w:w="70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Cada achado: nota, item, regra, gravidade, mensagem, valor esperado, diferença, ação, status (aberto, resolvido, ignorado com justificativa)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nc_historico</w:t>
            </w:r>
          </w:p>
        </w:tc>
        <w:tc>
          <w:tcPr>
            <w:tcW w:type="dxa" w:w="70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Auditoria de toda mudança em produto, comprador e matriz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Permissões (RLS):</w:t>
      </w:r>
      <w:r>
        <w:rPr>
          <w:rFonts w:ascii="Calibri" w:cs="Calibri" w:eastAsia="Calibri" w:hAnsi="Calibri"/>
        </w:rPr>
        <w:t xml:space="preserve"> iguais às do módulo Reforma. O escritório da Reforma vê tudo; o cliente só vê a empresa liberada para o e-mail dele. Os XMLs completos, se guardados, ficam num bucket privado com prazo de retenção.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9.3 O motor de regras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JavaScript puro</w:t>
      </w:r>
      <w:r>
        <w:rPr>
          <w:rFonts w:ascii="Calibri" w:cs="Calibri" w:eastAsia="Calibri" w:hAnsi="Calibri"/>
        </w:rPr>
        <w:t xml:space="preserve">, no mesmo estilo do motor da Reforma, com cada regra numa função pequena e testada.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Roda </w:t>
      </w:r>
      <w:r>
        <w:rPr>
          <w:rFonts w:ascii="Calibri" w:cs="Calibri" w:eastAsia="Calibri" w:hAnsi="Calibri"/>
          <w:b/>
          <w:bCs/>
        </w:rPr>
        <w:t xml:space="preserve">no navegador</w:t>
      </w:r>
      <w:r>
        <w:rPr>
          <w:rFonts w:ascii="Calibri" w:cs="Calibri" w:eastAsia="Calibri" w:hAnsi="Calibri"/>
        </w:rPr>
        <w:t xml:space="preserve">: o XML pode ser conferido sem sair do computador do usuário, o que ajuda a privacidade. O que se salva é o resumo e os achados.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 mesmo motor pode rodar </w:t>
      </w:r>
      <w:r>
        <w:rPr>
          <w:rFonts w:ascii="Calibri" w:cs="Calibri" w:eastAsia="Calibri" w:hAnsi="Calibri"/>
          <w:b/>
          <w:bCs/>
        </w:rPr>
        <w:t xml:space="preserve">no servidor</w:t>
      </w:r>
      <w:r>
        <w:rPr>
          <w:rFonts w:ascii="Calibri" w:cs="Calibri" w:eastAsia="Calibri" w:hAnsi="Calibri"/>
        </w:rPr>
        <w:t xml:space="preserve"> (edge function) quando vier a automação (Distribuição DF-e, alertas).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Testes automáticos</w:t>
      </w:r>
      <w:r>
        <w:rPr>
          <w:rFonts w:ascii="Calibri" w:cs="Calibri" w:eastAsia="Calibri" w:hAnsi="Calibri"/>
        </w:rPr>
        <w:t xml:space="preserve"> com XMLs fictícios ou anonimizados, cobrindo cada regra com um caso certo e um errado. </w:t>
      </w:r>
      <w:r>
        <w:rPr>
          <w:rFonts w:ascii="Calibri" w:cs="Calibri" w:eastAsia="Calibri" w:hAnsi="Calibri"/>
          <w:b/>
          <w:bCs/>
        </w:rPr>
        <w:t xml:space="preserve">Dados reais de clientes nunca entram no código.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Desempenho: mil notas por upload, conferidas em segundos.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9.4 Privacidade e LGPD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 nota tem dados de terceiros (compradores pessoa física).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Guardar o mínimo necessário: o resumo, e o XML completo só se a empresa quiser, com prazo de retenção.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Certificado digital (fase 3): guardado criptografado, com acesso restrito e registro de uso.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Deixar claro no termo de uso que o app é </w:t>
      </w:r>
      <w:r>
        <w:rPr>
          <w:rFonts w:ascii="Calibri" w:cs="Calibri" w:eastAsia="Calibri" w:hAnsi="Calibri"/>
          <w:b/>
          <w:bCs/>
        </w:rPr>
        <w:t xml:space="preserve">ferramenta de apoio</w:t>
      </w:r>
      <w:r>
        <w:rPr>
          <w:rFonts w:ascii="Calibri" w:cs="Calibri" w:eastAsia="Calibri" w:hAnsi="Calibri"/>
        </w:rPr>
        <w:t xml:space="preserve"> e que a responsabilidade pela emissão é do contribuinte.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10. Versão do escritório x versão do cliente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819"/>
        <w:gridCol w:w="2819"/>
      </w:tblGrid>
      <w:tr>
        <w:trPr>
          <w:cantSplit/>
          <w:tblHeader/>
        </w:trPr>
        <w:tc>
          <w:tcPr>
            <w:tcW w:type="dxa" w:w="4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Função</w:t>
            </w:r>
          </w:p>
        </w:tc>
        <w:tc>
          <w:tcPr>
            <w:tcW w:type="dxa" w:w="2819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Escritório</w:t>
            </w:r>
          </w:p>
        </w:tc>
        <w:tc>
          <w:tcPr>
            <w:tcW w:type="dxa" w:w="2819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Cliente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Ver a carteira (todos os clientes)</w:t>
            </w:r>
          </w:p>
        </w:tc>
        <w:tc>
          <w:tcPr>
            <w:tcW w:type="dxa" w:w="2819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Sim</w:t>
            </w:r>
          </w:p>
        </w:tc>
        <w:tc>
          <w:tcPr>
            <w:tcW w:type="dxa" w:w="2819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Cadastro fiscal da empresa</w:t>
            </w:r>
          </w:p>
        </w:tc>
        <w:tc>
          <w:tcPr>
            <w:tcW w:type="dxa" w:w="2819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Edita</w:t>
            </w:r>
          </w:p>
        </w:tc>
        <w:tc>
          <w:tcPr>
            <w:tcW w:type="dxa" w:w="2819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Vê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Produtos e serviços</w:t>
            </w:r>
          </w:p>
        </w:tc>
        <w:tc>
          <w:tcPr>
            <w:tcW w:type="dxa" w:w="2819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Edita 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aprova</w:t>
            </w:r>
          </w:p>
        </w:tc>
        <w:tc>
          <w:tcPr>
            <w:tcW w:type="dxa" w:w="2819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Cadastra e propõe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Compradores</w:t>
            </w:r>
          </w:p>
        </w:tc>
        <w:tc>
          <w:tcPr>
            <w:tcW w:type="dxa" w:w="2819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Edita e valida comprovantes (CEBAS)</w:t>
            </w:r>
          </w:p>
        </w:tc>
        <w:tc>
          <w:tcPr>
            <w:tcW w:type="dxa" w:w="2819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Cadastra e anexa comprovantes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Matriz fiscal</w:t>
            </w:r>
          </w:p>
        </w:tc>
        <w:tc>
          <w:tcPr>
            <w:tcW w:type="dxa" w:w="2819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Monta, aprova e versiona</w:t>
            </w:r>
          </w:p>
        </w:tc>
        <w:tc>
          <w:tcPr>
            <w:tcW w:type="dxa" w:w="2819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Consulta e exporta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Tabela para o ERP e manual de emissão</w:t>
            </w:r>
          </w:p>
        </w:tc>
        <w:tc>
          <w:tcPr>
            <w:tcW w:type="dxa" w:w="2819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Gera</w:t>
            </w:r>
          </w:p>
        </w:tc>
        <w:tc>
          <w:tcPr>
            <w:tcW w:type="dxa" w:w="2819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Baixa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Assistente de emissão e consulta rápida</w:t>
            </w:r>
          </w:p>
        </w:tc>
        <w:tc>
          <w:tcPr>
            <w:tcW w:type="dxa" w:w="2819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Sim</w:t>
            </w:r>
          </w:p>
        </w:tc>
        <w:tc>
          <w:tcPr>
            <w:tcW w:type="dxa" w:w="2819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Conferir XML</w:t>
            </w:r>
          </w:p>
        </w:tc>
        <w:tc>
          <w:tcPr>
            <w:tcW w:type="dxa" w:w="2819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Em lote, de todos os clientes</w:t>
            </w:r>
          </w:p>
        </w:tc>
        <w:tc>
          <w:tcPr>
            <w:tcW w:type="dxa" w:w="2819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Só da própria empresa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Achados e pendências</w:t>
            </w:r>
          </w:p>
        </w:tc>
        <w:tc>
          <w:tcPr>
            <w:tcW w:type="dxa" w:w="2819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Trata, justifica e ignora</w:t>
            </w:r>
          </w:p>
        </w:tc>
        <w:tc>
          <w:tcPr>
            <w:tcW w:type="dxa" w:w="2819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Vê e marca como corrigido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Relatórios</w:t>
            </w:r>
          </w:p>
        </w:tc>
        <w:tc>
          <w:tcPr>
            <w:tcW w:type="dxa" w:w="2819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Todos</w:t>
            </w:r>
          </w:p>
        </w:tc>
        <w:tc>
          <w:tcPr>
            <w:tcW w:type="dxa" w:w="2819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Da própria empresa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Tabelas oficiais e parâmetros (alíquotas por ano)</w:t>
            </w:r>
          </w:p>
        </w:tc>
        <w:tc>
          <w:tcPr>
            <w:tcW w:type="dxa" w:w="2819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Atualiza</w:t>
            </w:r>
          </w:p>
        </w:tc>
        <w:tc>
          <w:tcPr>
            <w:tcW w:type="dxa" w:w="2819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Alertas de prazo de cancelamento</w:t>
            </w:r>
          </w:p>
        </w:tc>
        <w:tc>
          <w:tcPr>
            <w:tcW w:type="dxa" w:w="2819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De todos os clientes</w:t>
            </w:r>
          </w:p>
        </w:tc>
        <w:tc>
          <w:tcPr>
            <w:tcW w:type="dxa" w:w="2819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Da própria empresa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11. O que precisamos</w:t>
      </w:r>
    </w:p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color w:val="D9622B"/>
          <w:spacing w:val="20"/>
          <w:sz w:val="17"/>
          <w:szCs w:val="17"/>
        </w:rPr>
        <w:t xml:space="preserve">DO ESCRITÓRIO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Tomar as decisões do capítulo 13.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Escolher 3 a 5 clientes piloto e avisar a eles.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Uma pessoa de referência tributária para revisar a matriz dos pilotos e as regras amarelas.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Tempo para revisar os resultados das primeiras conferências (calibrar falsos alarmes).</w:t>
      </w:r>
    </w:p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color w:val="D9622B"/>
          <w:spacing w:val="20"/>
          <w:sz w:val="17"/>
          <w:szCs w:val="17"/>
        </w:rPr>
        <w:t xml:space="preserve">DOS CLIENTES PILOTO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20 a 50 XMLs de venda recentes (e algumas devoluções e cancelamentos, se houver).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 lista de produtos exportada do ERP (código, descrição, NCM, unidade).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 nome do ERP e quem cuida da parametrização.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Mais adiante: o certificado A1, se formos automatizar a captura das notas.</w:t>
      </w:r>
    </w:p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color w:val="D9622B"/>
          <w:spacing w:val="20"/>
          <w:sz w:val="17"/>
          <w:szCs w:val="17"/>
        </w:rPr>
        <w:t xml:space="preserve">TÉCNICO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As tabelas oficiais atuais: Informe Técnico de cClassTrib e cCredPres, NCM do Siscomex e anexos VII e VIII da NFS-e.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 versão vigente da NT 2025.002 (campos e validações).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Tabelas novas no Supabase com as mesmas regras de acesso da Reforma.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XMLs fictícios para os testes automáticos.</w:t>
      </w:r>
    </w:p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color w:val="D9622B"/>
          <w:spacing w:val="20"/>
          <w:sz w:val="17"/>
          <w:szCs w:val="17"/>
        </w:rPr>
        <w:t xml:space="preserve">CONHECIMENTO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Ler os textos oficiais dos pontos marcados com (conferir) e registrar a conclusão do escritório em cada um.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12. Plano de trabalho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Meta: fases 1 a 3 prontas até janeiro de 2027</w:t>
      </w:r>
      <w:r>
        <w:rPr>
          <w:rFonts w:ascii="Calibri" w:cs="Calibri" w:eastAsia="Calibri" w:hAnsi="Calibri"/>
        </w:rPr>
        <w:t xml:space="preserve">, quando a CBS passa a valer de verdade e a apuração assistida passa a ter efeito. Os prazos são estimativas e dependem das decisões e do retorno dos pilotos.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300"/>
        <w:gridCol w:w="3338"/>
        <w:gridCol w:w="2700"/>
      </w:tblGrid>
      <w:tr>
        <w:trPr>
          <w:cantSplit/>
          <w:tblHeader/>
        </w:trPr>
        <w:tc>
          <w:tcPr>
            <w:tcW w:type="dxa" w:w="2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Fase</w:t>
            </w:r>
          </w:p>
        </w:tc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Duração estimada</w:t>
            </w:r>
          </w:p>
        </w:tc>
        <w:tc>
          <w:tcPr>
            <w:tcW w:type="dxa" w:w="33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Entregas</w:t>
            </w:r>
          </w:p>
        </w:tc>
        <w:tc>
          <w:tcPr>
            <w:tcW w:type="dxa" w:w="27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Pronta quando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Fase 0 — Preparação</w:t>
            </w:r>
          </w:p>
        </w:tc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1 a 2 semanas</w:t>
            </w:r>
          </w:p>
        </w:tc>
        <w:tc>
          <w:tcPr>
            <w:tcW w:type="dxa" w:w="33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Decisões do capítulo 13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Pilotos escolhidos e XMLs coletados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Pontos (conferir) checados no texto oficial</w:t>
            </w:r>
          </w:p>
        </w:tc>
        <w:tc>
          <w:tcPr>
            <w:tcW w:type="dxa" w:w="27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Decisões registradas; XMLs fictícios ou anonimizados prontos para os testes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Fase 1 — Conferidor de XML</w:t>
            </w:r>
          </w:p>
        </w:tc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3 a 4 semanas</w:t>
            </w:r>
          </w:p>
        </w:tc>
        <w:tc>
          <w:tcPr>
            <w:tcW w:type="dxa" w:w="33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Upload de XML e ZIP (NF-e 55)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Tabelas oficiais carregadas e versionadas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Regras E, C, D e P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Resultado por nota e relatório</w:t>
            </w:r>
          </w:p>
        </w:tc>
        <w:tc>
          <w:tcPr>
            <w:tcW w:type="dxa" w:w="27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Conferir 100% dos XMLs dos pilotos, com o resultado revisado pelo escritório; nenhum erro plantado passa como “ok”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Fase 2 — Cadastros e matriz</w:t>
            </w:r>
          </w:p>
        </w:tc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3 a 4 semanas</w:t>
            </w:r>
          </w:p>
        </w:tc>
        <w:tc>
          <w:tcPr>
            <w:tcW w:type="dxa" w:w="33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Cadastro fiscal e questionário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Importação de produtos (planilha e XML)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Validação de NCM, sugestão do anexo e aprovação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Perfil dos compradores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Matriz, regras M e tabela para o ERP</w:t>
            </w:r>
          </w:p>
        </w:tc>
        <w:tc>
          <w:tcPr>
            <w:tcW w:type="dxa" w:w="27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Um piloto com catálogo aprovado e notas conferidas contra a matriz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Fase 3 — Assistente e versão do cliente</w:t>
            </w:r>
          </w:p>
        </w:tc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2 a 3 semanas</w:t>
            </w:r>
          </w:p>
        </w:tc>
        <w:tc>
          <w:tcPr>
            <w:tcW w:type="dxa" w:w="33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Assistente de emissão e espelho em PDF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Consulta rápida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Acesso do cliente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NFS-e nacional</w:t>
            </w:r>
          </w:p>
        </w:tc>
        <w:tc>
          <w:tcPr>
            <w:tcW w:type="dxa" w:w="27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O faturamento de um piloto usa o assistente por 2 semanas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Fase 4 — Automação</w:t>
            </w:r>
          </w:p>
        </w:tc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contínuo</w:t>
            </w:r>
          </w:p>
        </w:tc>
        <w:tc>
          <w:tcPr>
            <w:tcW w:type="dxa" w:w="33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Distribuição DF-e e ADN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Alertas de prazo por e-mail ou WhatsApp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Carteira com nota de conformidade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NFC-e e notas de compra</w:t>
            </w:r>
          </w:p>
        </w:tc>
        <w:tc>
          <w:tcPr>
            <w:tcW w:type="dxa" w:w="27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Erros dentro do prazo avisados no mesmo dia, sem upload manual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Fase 5 — 2027 em diante</w:t>
            </w:r>
          </w:p>
        </w:tc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conforme as normas</w:t>
            </w:r>
          </w:p>
        </w:tc>
        <w:tc>
          <w:tcPr>
            <w:tcW w:type="dxa" w:w="33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Cruzamento com a apuração assistida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Simples híbrido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Split payment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IA e API para ERPs</w:t>
            </w:r>
          </w:p>
        </w:tc>
        <w:tc>
          <w:tcPr>
            <w:tcW w:type="dxa" w:w="27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Definido quando as APIs e normas saírem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</w:rPr>
        <w:t xml:space="preserve">Por que começar pelo conferidor de XML (fase 1) se o objetivo é prevenir? Três motivos: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ele funciona </w:t>
      </w:r>
      <w:r>
        <w:rPr>
          <w:rFonts w:ascii="Calibri" w:cs="Calibri" w:eastAsia="Calibri" w:hAnsi="Calibri"/>
          <w:b/>
          <w:bCs/>
        </w:rPr>
        <w:t xml:space="preserve">sem cadastro nenhum</w:t>
      </w:r>
      <w:r>
        <w:rPr>
          <w:rFonts w:ascii="Calibri" w:cs="Calibri" w:eastAsia="Calibri" w:hAnsi="Calibri"/>
        </w:rP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ele </w:t>
      </w:r>
      <w:r>
        <w:rPr>
          <w:rFonts w:ascii="Calibri" w:cs="Calibri" w:eastAsia="Calibri" w:hAnsi="Calibri"/>
          <w:b/>
          <w:bCs/>
        </w:rPr>
        <w:t xml:space="preserve">mostra os erros reais</w:t>
      </w:r>
      <w:r>
        <w:rPr>
          <w:rFonts w:ascii="Calibri" w:cs="Calibri" w:eastAsia="Calibri" w:hAnsi="Calibri"/>
        </w:rPr>
        <w:t xml:space="preserve"> dos pilotos, que dizem quais cadastros atacar primeiro;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as mesmas regras viram a base do assistente.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Nas fases 2 e 3 o foco vira a </w:t>
      </w:r>
      <w:r>
        <w:rPr>
          <w:rFonts w:ascii="Calibri" w:cs="Calibri" w:eastAsia="Calibri" w:hAnsi="Calibri"/>
          <w:b/>
          <w:bCs/>
        </w:rPr>
        <w:t xml:space="preserve">prevenção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13. Decisões a tomar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838"/>
      </w:tblGrid>
      <w:tr>
        <w:trPr>
          <w:cantSplit/>
          <w:tblHeader/>
        </w:trPr>
        <w:tc>
          <w:tcPr>
            <w:tcW w:type="dxa" w:w="2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Decisão</w:t>
            </w:r>
          </w:p>
        </w:tc>
        <w:tc>
          <w:tcPr>
            <w:tcW w:type="dxa" w:w="32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Opções</w:t>
            </w:r>
          </w:p>
        </w:tc>
        <w:tc>
          <w:tcPr>
            <w:tcW w:type="dxa" w:w="38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Recomendação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Nome do módulo</w:t>
            </w:r>
          </w:p>
        </w:tc>
        <w:tc>
          <w:tcPr>
            <w:tcW w:type="dxa" w:w="32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Nota Certa · Conferência Fiscal · Matriz Fiscal</w:t>
            </w:r>
          </w:p>
        </w:tc>
        <w:tc>
          <w:tcPr>
            <w:tcW w:type="dxa" w:w="38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Nota Certa (fala do resultado, não da ferramenta)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Clientes piloto</w:t>
            </w:r>
          </w:p>
        </w:tc>
        <w:tc>
          <w:tcPr>
            <w:tcW w:type="dxa" w:w="32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3 a 5 com perfis diferentes</w:t>
            </w:r>
          </w:p>
        </w:tc>
        <w:tc>
          <w:tcPr>
            <w:tcW w:type="dxa" w:w="38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Comércio com Cesta Básica, distribuidor de saúde, prestador de serviço e um do Simples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Documentos no início</w:t>
            </w:r>
          </w:p>
        </w:tc>
        <w:tc>
          <w:tcPr>
            <w:tcW w:type="dxa" w:w="32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NF-e · NFS-e · NFC-e · CT-e</w:t>
            </w:r>
          </w:p>
        </w:tc>
        <w:tc>
          <w:tcPr>
            <w:tcW w:type="dxa" w:w="38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NF-e 55 primeiro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, depois NFS-e nacional; NFC-e na fase 4; CT-e fora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Fonte dos XMLs</w:t>
            </w:r>
          </w:p>
        </w:tc>
        <w:tc>
          <w:tcPr>
            <w:tcW w:type="dxa" w:w="32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Upload · e-mail · DF-e com certificado · Domínio</w:t>
            </w:r>
          </w:p>
        </w:tc>
        <w:tc>
          <w:tcPr>
            <w:tcW w:type="dxa" w:w="38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Upload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 na fase 1; automação na fase 4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Quem aprova produtos e matriz</w:t>
            </w:r>
          </w:p>
        </w:tc>
        <w:tc>
          <w:tcPr>
            <w:tcW w:type="dxa" w:w="32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Cliente · escritório · ambos</w:t>
            </w:r>
          </w:p>
        </w:tc>
        <w:tc>
          <w:tcPr>
            <w:tcW w:type="dxa" w:w="38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Cliente propõe, escritório aprova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Integração com o ERP</w:t>
            </w:r>
          </w:p>
        </w:tc>
        <w:tc>
          <w:tcPr>
            <w:tcW w:type="dxa" w:w="32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Planilha · formatos por ERP · API</w:t>
            </w:r>
          </w:p>
        </w:tc>
        <w:tc>
          <w:tcPr>
            <w:tcW w:type="dxa" w:w="38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Planilha genérica primeiro; formatos dos ERPs mais comuns depois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ICMS, PIS e Cofins na base (transição)</w:t>
            </w:r>
          </w:p>
        </w:tc>
        <w:tc>
          <w:tcPr>
            <w:tcW w:type="dxa" w:w="32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Excluir · incluir · por ano</w:t>
            </w:r>
          </w:p>
        </w:tc>
        <w:tc>
          <w:tcPr>
            <w:tcW w:type="dxa" w:w="38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Parâmetro por ano, definido pelo escritório depois de checar o texto oficial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Guardar XML completo</w:t>
            </w:r>
          </w:p>
        </w:tc>
        <w:tc>
          <w:tcPr>
            <w:tcW w:type="dxa" w:w="32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Sim · só o resumo · opcional</w:t>
            </w:r>
          </w:p>
        </w:tc>
        <w:tc>
          <w:tcPr>
            <w:tcW w:type="dxa" w:w="38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Resumo sempre; XML opcional com retenção definida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Uso de IA</w:t>
            </w:r>
          </w:p>
        </w:tc>
        <w:tc>
          <w:tcPr>
            <w:tcW w:type="dxa" w:w="32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Não usar · sugerir · decidir</w:t>
            </w:r>
          </w:p>
        </w:tc>
        <w:tc>
          <w:tcPr>
            <w:tcW w:type="dxa" w:w="38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Só sugerir e explicar, sempre com aprovação humana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Modelo comercial</w:t>
            </w:r>
          </w:p>
        </w:tc>
        <w:tc>
          <w:tcPr>
            <w:tcW w:type="dxa" w:w="32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Incluso no honorário · serviço adicional · por volume</w:t>
            </w:r>
          </w:p>
        </w:tc>
        <w:tc>
          <w:tcPr>
            <w:tcW w:type="dxa" w:w="38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Decisão do escritório; a carteira com nota de conformidade ajuda a vender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Termo de responsabilidade</w:t>
            </w:r>
          </w:p>
        </w:tc>
        <w:tc>
          <w:tcPr>
            <w:tcW w:type="dxa" w:w="32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38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Texto claro de ferramenta de apoio; a decisão final é do contribuinte e do escritório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14. Riscos e cuidados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cantSplit/>
          <w:tblHeader/>
        </w:trPr>
        <w:tc>
          <w:tcPr>
            <w:tcW w:type="dxa" w:w="3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Risco</w:t>
            </w:r>
          </w:p>
        </w:tc>
        <w:tc>
          <w:tcPr>
            <w:tcW w:type="dxa" w:w="60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Como lidar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As regras mudam com frequência (NTs, tabelas, datas)</w:t>
            </w:r>
          </w:p>
        </w:tc>
        <w:tc>
          <w:tcPr>
            <w:tcW w:type="dxa" w:w="60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Tabelas versionadas, regras por data de emissão, rotina de checagem das publicações oficiais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Alíquota de referência ainda indefinida</w:t>
            </w:r>
          </w:p>
        </w:tc>
        <w:tc>
          <w:tcPr>
            <w:tcW w:type="dxa" w:w="60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Alíquotas como parâmetro por ano; simulações claramente marcadas como ilustrativas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Interpretações divergentes entre fontes</w:t>
            </w:r>
          </w:p>
        </w:tc>
        <w:tc>
          <w:tcPr>
            <w:tcW w:type="dxa" w:w="60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Marcar “conferir”, registrar a posição do escritório e permitir “ignorar com justificativa”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Falso alarme demais (o usuário para de ler)</w:t>
            </w:r>
          </w:p>
        </w:tc>
        <w:tc>
          <w:tcPr>
            <w:tcW w:type="dxa" w:w="60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Calibrar com os pilotos; separar erro de alerta; mensagens claras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Erro do app levar a nota errada</w:t>
            </w:r>
          </w:p>
        </w:tc>
        <w:tc>
          <w:tcPr>
            <w:tcW w:type="dxa" w:w="60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Termo de responsabilidade, aprovação humana, testes automáticos por regra, conferência por amostragem na calculadora oficial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Catálogo do cliente bagunçado</w:t>
            </w:r>
          </w:p>
        </w:tc>
        <w:tc>
          <w:tcPr>
            <w:tcW w:type="dxa" w:w="60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Importação com detecção de duplicados, NCMs divergentes e descrições vagas; implantação assistida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Prazo de cancelamento diferente por UF</w:t>
            </w:r>
          </w:p>
        </w:tc>
        <w:tc>
          <w:tcPr>
            <w:tcW w:type="dxa" w:w="60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Prazo no cadastro da empresa; alerta pelo menor prazo em caso de dúvida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Privacidade (dados de compradores, certificado)</w:t>
            </w:r>
          </w:p>
        </w:tc>
        <w:tc>
          <w:tcPr>
            <w:tcW w:type="dxa" w:w="60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Guardar o mínimo, buckets privados, criptografia, regras de acesso iguais às da Reforma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Escopo crescer demais</w:t>
            </w:r>
          </w:p>
        </w:tc>
        <w:tc>
          <w:tcPr>
            <w:tcW w:type="dxa" w:w="60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Fases com critério de pronto; regimes específicos fora no início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15. Glossário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Termo</w:t>
            </w:r>
          </w:p>
        </w:tc>
        <w:tc>
          <w:tcPr>
            <w:tcW w:type="dxa" w:w="7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ADN</w:t>
            </w:r>
          </w:p>
        </w:tc>
        <w:tc>
          <w:tcPr>
            <w:tcW w:type="dxa" w:w="7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Ambiente de Dados Nacional da NFS-e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Alíquota de referência</w:t>
            </w:r>
          </w:p>
        </w:tc>
        <w:tc>
          <w:tcPr>
            <w:tcW w:type="dxa" w:w="7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Alíquota “cheia” da CBS e do IBS, a ser fixada pelo Senado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Apuração assistida</w:t>
            </w:r>
          </w:p>
        </w:tc>
        <w:tc>
          <w:tcPr>
            <w:tcW w:type="dxa" w:w="7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Apuração mensal montada pelo fisco a partir das notas; se não for contestada, vira confissão de dívida (a partir de 2027)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Calculadora RTC</w:t>
            </w:r>
          </w:p>
        </w:tc>
        <w:tc>
          <w:tcPr>
            <w:tcW w:type="dxa" w:w="7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Ferramenta oficial da Receita para calcular IBS/CBS, com versão online e offline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Cashback</w:t>
            </w:r>
          </w:p>
        </w:tc>
        <w:tc>
          <w:tcPr>
            <w:tcW w:type="dxa" w:w="7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Devolução de IBS/CBS a famílias de baixa renda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CBS</w:t>
            </w:r>
          </w:p>
        </w:tc>
        <w:tc>
          <w:tcPr>
            <w:tcW w:type="dxa" w:w="7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Contribuição sobre Bens e Serviços (federal; substitui PIS e Cofins)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CC-e</w:t>
            </w:r>
          </w:p>
        </w:tc>
        <w:tc>
          <w:tcPr>
            <w:tcW w:type="dxa" w:w="7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Carta de correção eletrônica; não pode mudar valores de imposto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cClassTrib</w:t>
            </w:r>
          </w:p>
        </w:tc>
        <w:tc>
          <w:tcPr>
            <w:tcW w:type="dxa" w:w="7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Código de classificação tributária do IBS/CBS (6 dígitos)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cCredPres</w:t>
            </w:r>
          </w:p>
        </w:tc>
        <w:tc>
          <w:tcPr>
            <w:tcW w:type="dxa" w:w="7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Código do crédito presumido de IBS/CBS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CEBAS</w:t>
            </w:r>
          </w:p>
        </w:tc>
        <w:tc>
          <w:tcPr>
            <w:tcW w:type="dxa" w:w="7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Certificação de Entidade Beneficente de Assistência Social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CFOP</w:t>
            </w:r>
          </w:p>
        </w:tc>
        <w:tc>
          <w:tcPr>
            <w:tcW w:type="dxa" w:w="7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Código Fiscal de Operações e Prestações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CGIBS</w:t>
            </w:r>
          </w:p>
        </w:tc>
        <w:tc>
          <w:tcPr>
            <w:tcW w:type="dxa" w:w="7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Comitê Gestor do IBS (estados e municípios)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cIndOp</w:t>
            </w:r>
          </w:p>
        </w:tc>
        <w:tc>
          <w:tcPr>
            <w:tcW w:type="dxa" w:w="7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Indicador da operação na NFS-e (define o local do IBS)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CRT</w:t>
            </w:r>
          </w:p>
        </w:tc>
        <w:tc>
          <w:tcPr>
            <w:tcW w:type="dxa" w:w="7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Código de Regime Tributário do emitente na NF-e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CST</w:t>
            </w:r>
          </w:p>
        </w:tc>
        <w:tc>
          <w:tcPr>
            <w:tcW w:type="dxa" w:w="7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Código de Situação Tributária (o do IBS/CBS tem 3 dígitos)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DF-e</w:t>
            </w:r>
          </w:p>
        </w:tc>
        <w:tc>
          <w:tcPr>
            <w:tcW w:type="dxa" w:w="7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Documentos fiscais eletrônicos; a Distribuição DF-e entrega à empresa as notas em que ela aparece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DPS</w:t>
            </w:r>
          </w:p>
        </w:tc>
        <w:tc>
          <w:tcPr>
            <w:tcW w:type="dxa" w:w="7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Declaração de Prestação de Serviço, que gera a NFS-e nacional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finNFe</w:t>
            </w:r>
          </w:p>
        </w:tc>
        <w:tc>
          <w:tcPr>
            <w:tcW w:type="dxa" w:w="7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Finalidade da NF-e (1 normal, 2 complementar, 3 ajuste, 4 devolução, 5 crédito, 6 débito)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IBS</w:t>
            </w:r>
          </w:p>
        </w:tc>
        <w:tc>
          <w:tcPr>
            <w:tcW w:type="dxa" w:w="7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Imposto sobre Bens e Serviços (estados e municípios; substitui ICMS e ISS)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IS</w:t>
            </w:r>
          </w:p>
        </w:tc>
        <w:tc>
          <w:tcPr>
            <w:tcW w:type="dxa" w:w="7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Imposto Seletivo (produtos prejudiciais à saúde e ao meio ambiente)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IT</w:t>
            </w:r>
          </w:p>
        </w:tc>
        <w:tc>
          <w:tcPr>
            <w:tcW w:type="dxa" w:w="7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Informe Técnico (publica as tabelas oficiais)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Matriz fiscal</w:t>
            </w:r>
          </w:p>
        </w:tc>
        <w:tc>
          <w:tcPr>
            <w:tcW w:type="dxa" w:w="7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As regras da empresa: produto × operação × comprador → códigos e tributação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NBS</w:t>
            </w:r>
          </w:p>
        </w:tc>
        <w:tc>
          <w:tcPr>
            <w:tcW w:type="dxa" w:w="7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Nomenclatura Brasileira de Serviços (9 dígitos)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NCM</w:t>
            </w:r>
          </w:p>
        </w:tc>
        <w:tc>
          <w:tcPr>
            <w:tcW w:type="dxa" w:w="7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Nomenclatura Comum do Mercosul (8 dígitos)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NF-e / NFC-e</w:t>
            </w:r>
          </w:p>
        </w:tc>
        <w:tc>
          <w:tcPr>
            <w:tcW w:type="dxa" w:w="7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Nota fiscal eletrônica (modelo 55) e nota ao consumidor (modelo 65)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NFS-e</w:t>
            </w:r>
          </w:p>
        </w:tc>
        <w:tc>
          <w:tcPr>
            <w:tcW w:type="dxa" w:w="7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Nota fiscal de serviço eletrônica (padrão nacional)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NT</w:t>
            </w:r>
          </w:p>
        </w:tc>
        <w:tc>
          <w:tcPr>
            <w:tcW w:type="dxa" w:w="7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Nota Técnica (leiaute e regras de validação dos documentos)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Princípio do destino</w:t>
            </w:r>
          </w:p>
        </w:tc>
        <w:tc>
          <w:tcPr>
            <w:tcW w:type="dxa" w:w="7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O IBS pertence ao estado e ao município de quem compra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Regime híbrido</w:t>
            </w:r>
          </w:p>
        </w:tc>
        <w:tc>
          <w:tcPr>
            <w:tcW w:type="dxa" w:w="7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Empresa do Simples que recolhe IBS/CBS fora do DAS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SEFAZ</w:t>
            </w:r>
          </w:p>
        </w:tc>
        <w:tc>
          <w:tcPr>
            <w:tcW w:type="dxa" w:w="7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Secretaria da Fazenda estadual, que autoriza a NF-e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Split payment</w:t>
            </w:r>
          </w:p>
        </w:tc>
        <w:tc>
          <w:tcPr>
            <w:tcW w:type="dxa" w:w="7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Separação do imposto no pagamento eletrônico, enviado direto ao fisco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16. Fontes e como manter atualizado</w:t>
      </w:r>
    </w:p>
    <w:p>
      <w:pPr>
        <w:spacing w:after="120"/>
      </w:pPr>
      <w:r>
        <w:rPr>
          <w:rFonts w:ascii="Calibri" w:cs="Calibri" w:eastAsia="Calibri" w:hAnsi="Calibri"/>
        </w:rPr>
        <w:t xml:space="preserve">Base dos anexos usada no AthosBI: </w:t>
      </w:r>
      <w:r>
        <w:rPr>
          <w:rFonts w:ascii="Calibri" w:cs="Calibri" w:eastAsia="Calibri" w:hAnsi="Calibri"/>
          <w:b/>
          <w:bCs/>
        </w:rPr>
        <w:t xml:space="preserve">@sinete/ibs-cbs-dados@2026.9.3</w:t>
      </w:r>
      <w:r>
        <w:rPr>
          <w:rFonts w:ascii="Calibri" w:cs="Calibri" w:eastAsia="Calibri" w:hAnsi="Calibri"/>
        </w:rPr>
        <w:t xml:space="preserve"> (dados 2026.09, licença Apache-2.0), extraída da Calculadora da Receita (módulo offline) e do Informe Técnico 2025.002.</w:t>
      </w:r>
    </w:p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color w:val="D9622B"/>
          <w:spacing w:val="20"/>
          <w:sz w:val="17"/>
          <w:szCs w:val="17"/>
        </w:rPr>
        <w:t xml:space="preserve">NORMAS E PUBLICAÇÕES OFICIAIS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LC 214/2025 (Planalto): </w:t>
      </w:r>
      <w:hyperlink w:history="1" r:id="rIdoywf-v7rslzjbakbiwlu8">
        <w:r>
          <w:rPr>
            <w:rFonts w:ascii="Calibri" w:cs="Calibri" w:eastAsia="Calibri" w:hAnsi="Calibri"/>
            <w:color w:val="1F4E8C"/>
            <w:sz w:val="18"/>
            <w:szCs w:val="18"/>
            <w:u w:val="single"/>
          </w:rPr>
          <w:t xml:space="preserve">https://www.planalto.gov.br/ccivil_03/leis/lcp/lcp214.htm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Cartilha do IBS, vol. 1 (CGIBS): </w:t>
      </w:r>
      <w:hyperlink w:history="1" r:id="rIdy_ll34hzhzijaqhggcm0e">
        <w:r>
          <w:rPr>
            <w:rFonts w:ascii="Calibri" w:cs="Calibri" w:eastAsia="Calibri" w:hAnsi="Calibri"/>
            <w:color w:val="1F4E8C"/>
            <w:sz w:val="18"/>
            <w:szCs w:val="18"/>
            <w:u w:val="single"/>
          </w:rPr>
          <w:t xml:space="preserve">https://www.cgibs.gov.br/upload/arquivos/202511/13142212-item-2-3-cartilha-do-ibs-vol-1-formatada-20251110-1506.pdf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Receita Federal — Calculadora da Reforma: </w:t>
      </w:r>
      <w:hyperlink w:history="1" r:id="rIdnbmtdxynr3iafxwvlmqxn">
        <w:r>
          <w:rPr>
            <w:rFonts w:ascii="Calibri" w:cs="Calibri" w:eastAsia="Calibri" w:hAnsi="Calibri"/>
            <w:color w:val="1F4E8C"/>
            <w:sz w:val="18"/>
            <w:szCs w:val="18"/>
            <w:u w:val="single"/>
          </w:rPr>
          <w:t xml:space="preserve">https://www.gov.br/receitafederal/pt-br/assuntos/noticias/2025/julho/receita-federal-libera-ferramenta-oficial-de-calculo-da-reforma-tributaria-sobre-o-consumo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Manual dos serviços RTC (Receita): </w:t>
      </w:r>
      <w:hyperlink w:history="1" r:id="rIdgqgrdwp3heiecn7qzlbab">
        <w:r>
          <w:rPr>
            <w:rFonts w:ascii="Calibri" w:cs="Calibri" w:eastAsia="Calibri" w:hAnsi="Calibri"/>
            <w:color w:val="1F4E8C"/>
            <w:sz w:val="18"/>
            <w:szCs w:val="18"/>
            <w:u w:val="single"/>
          </w:rPr>
          <w:t xml:space="preserve">https://www.gov.br/receitafederal/pt-br/centrais-de-conteudo/publicacoes/manuais/reforma-tributaria-do-consumo/manual-servicos-rtc.pdf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Validador de XML (piloto): </w:t>
      </w:r>
      <w:hyperlink w:history="1" r:id="rId9ekhox50cfwzn4ox7nb3k">
        <w:r>
          <w:rPr>
            <w:rFonts w:ascii="Calibri" w:cs="Calibri" w:eastAsia="Calibri" w:hAnsi="Calibri"/>
            <w:color w:val="1F4E8C"/>
            <w:sz w:val="18"/>
            <w:szCs w:val="18"/>
            <w:u w:val="single"/>
          </w:rPr>
          <w:t xml:space="preserve">https://piloto-cbs.tributos.gov.br/servico/calculadora-consumo/calculadora/validador-xml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Calculadora offline (piloto): </w:t>
      </w:r>
      <w:hyperlink w:history="1" r:id="rIdtkfcxjwumy39y-bhp2evi">
        <w:r>
          <w:rPr>
            <w:rFonts w:ascii="Calibri" w:cs="Calibri" w:eastAsia="Calibri" w:hAnsi="Calibri"/>
            <w:color w:val="1F4E8C"/>
            <w:sz w:val="18"/>
            <w:szCs w:val="18"/>
            <w:u w:val="single"/>
          </w:rPr>
          <w:t xml:space="preserve">https://piloto-cbs.tributos.gov.br/servico/calculadora-consumo/calculadora/calculadora-offline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Agência Gov — Simples e IBS/CBS fora do DAS: </w:t>
      </w:r>
      <w:hyperlink w:history="1" r:id="rIdb8yxoyhcawur34tkz0i7a">
        <w:r>
          <w:rPr>
            <w:rFonts w:ascii="Calibri" w:cs="Calibri" w:eastAsia="Calibri" w:hAnsi="Calibri"/>
            <w:color w:val="1F4E8C"/>
            <w:sz w:val="18"/>
            <w:szCs w:val="18"/>
            <w:u w:val="single"/>
          </w:rPr>
          <w:t xml:space="preserve">https://agenciagov.ebc.com.br/noticias/202609/empresas-do-simples-nacional-ja-podem-optar-pelo-recolhimento-de-ibs-e-cbs-fora-do-regime-unificado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Portal Único Siscomex — Classif (NCM): </w:t>
      </w:r>
      <w:hyperlink w:history="1" r:id="rIdovrfs4uhpcksvlexxpbyu">
        <w:r>
          <w:rPr>
            <w:rFonts w:ascii="Calibri" w:cs="Calibri" w:eastAsia="Calibri" w:hAnsi="Calibri"/>
            <w:color w:val="1F4E8C"/>
            <w:sz w:val="18"/>
            <w:szCs w:val="18"/>
            <w:u w:val="single"/>
          </w:rPr>
          <w:t xml:space="preserve">https://portalunico.siscomex.gov.br/classif/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Revista da PGE-SP — base de cálculo: </w:t>
      </w:r>
      <w:hyperlink w:history="1" r:id="rIdjamwsxilftnclf7l-zedv">
        <w:r>
          <w:rPr>
            <w:rFonts w:ascii="Calibri" w:cs="Calibri" w:eastAsia="Calibri" w:hAnsi="Calibri"/>
            <w:color w:val="1F4E8C"/>
            <w:sz w:val="18"/>
            <w:szCs w:val="18"/>
            <w:u w:val="single"/>
          </w:rPr>
          <w:t xml:space="preserve">https://revistas.pge.sp.gov.br/revistapegesp/article/download/1689/1732</w:t>
        </w:r>
      </w:hyperlink>
    </w:p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color w:val="D9622B"/>
          <w:spacing w:val="20"/>
          <w:sz w:val="17"/>
          <w:szCs w:val="17"/>
        </w:rPr>
        <w:t xml:space="preserve">APURAÇÃO ASSISTIDA E CRONOGRAMA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e-Auditoria — apuração assistida: </w:t>
      </w:r>
      <w:hyperlink w:history="1" r:id="rIdoc-sdgofoiuskhcorad9r">
        <w:r>
          <w:rPr>
            <w:rFonts w:ascii="Calibri" w:cs="Calibri" w:eastAsia="Calibri" w:hAnsi="Calibri"/>
            <w:color w:val="1F4E8C"/>
            <w:sz w:val="18"/>
            <w:szCs w:val="18"/>
            <w:u w:val="single"/>
          </w:rPr>
          <w:t xml:space="preserve">https://www.e-auditoria.com.br/blog/apuracao-assistida/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Meira Fernandes — apuração assistida: </w:t>
      </w:r>
      <w:hyperlink w:history="1" r:id="rIdsqtycqx7j7r-fhxda4o-u">
        <w:r>
          <w:rPr>
            <w:rFonts w:ascii="Calibri" w:cs="Calibri" w:eastAsia="Calibri" w:hAnsi="Calibri"/>
            <w:color w:val="1F4E8C"/>
            <w:sz w:val="18"/>
            <w:szCs w:val="18"/>
            <w:u w:val="single"/>
          </w:rPr>
          <w:t xml:space="preserve">https://www.meirafernandes.com.br/noticias/reforma-tributaria-2026-entenda-como-funcionara-a-apuracao-assistida-do-ibs-e-da-cbs/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Escola Superior — rotina fiscal 2027: </w:t>
      </w:r>
      <w:hyperlink w:history="1" r:id="rIdd9ngjagd2cxxvskegqnhh">
        <w:r>
          <w:rPr>
            <w:rFonts w:ascii="Calibri" w:cs="Calibri" w:eastAsia="Calibri" w:hAnsi="Calibri"/>
            <w:color w:val="1F4E8C"/>
            <w:sz w:val="18"/>
            <w:szCs w:val="18"/>
            <w:u w:val="single"/>
          </w:rPr>
          <w:t xml:space="preserve">https://escolasuperioresn.com.br/rotina-fiscal-2027-apuracao-assistida-ibs-cbs/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Jornal Grande Bahia — CBS 2027 e Senado: </w:t>
      </w:r>
      <w:hyperlink w:history="1" r:id="rIdmufsuwqgm1la4-uxe6b2x">
        <w:r>
          <w:rPr>
            <w:rFonts w:ascii="Calibri" w:cs="Calibri" w:eastAsia="Calibri" w:hAnsi="Calibri"/>
            <w:color w:val="1F4E8C"/>
            <w:sz w:val="18"/>
            <w:szCs w:val="18"/>
            <w:u w:val="single"/>
          </w:rPr>
          <w:t xml:space="preserve">https://jornalgrandebahia.com.br/2026/10/cbs-comeca-a-valer-em-2027-senado-definira-aliquota-e-governo-prepara-novas-regras-tributarias/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Barbieri Advogados — transição: </w:t>
      </w:r>
      <w:hyperlink w:history="1" r:id="rIdbyv85youqsb5k2qscwpxp">
        <w:r>
          <w:rPr>
            <w:rFonts w:ascii="Calibri" w:cs="Calibri" w:eastAsia="Calibri" w:hAnsi="Calibri"/>
            <w:color w:val="1F4E8C"/>
            <w:sz w:val="18"/>
            <w:szCs w:val="18"/>
            <w:u w:val="single"/>
          </w:rPr>
          <w:t xml:space="preserve">https://www.barbieriadvogados.com/transicao-tributaria-2026/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Omie — split payment em 2028: </w:t>
      </w:r>
      <w:hyperlink w:history="1" r:id="rIdh2aytnn24q6d_bdsxdah4">
        <w:r>
          <w:rPr>
            <w:rFonts w:ascii="Calibri" w:cs="Calibri" w:eastAsia="Calibri" w:hAnsi="Calibri"/>
            <w:color w:val="1F4E8C"/>
            <w:sz w:val="18"/>
            <w:szCs w:val="18"/>
            <w:u w:val="single"/>
          </w:rPr>
          <w:t xml:space="preserve">https://www.omie.com.br/blog/receita-federal-adia-obrigatoriedade-do-split-payment-para-2028/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berga.app — Simples Nacional: </w:t>
      </w:r>
      <w:hyperlink w:history="1" r:id="rIdzk6tdxrs106rlp4yagv4u">
        <w:r>
          <w:rPr>
            <w:rFonts w:ascii="Calibri" w:cs="Calibri" w:eastAsia="Calibri" w:hAnsi="Calibri"/>
            <w:color w:val="1F4E8C"/>
            <w:sz w:val="18"/>
            <w:szCs w:val="18"/>
            <w:u w:val="single"/>
          </w:rPr>
          <w:t xml:space="preserve">https://berga.app/blog/reforma-tributaria-simples-nacional</w:t>
        </w:r>
      </w:hyperlink>
    </w:p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color w:val="D9622B"/>
          <w:spacing w:val="20"/>
          <w:sz w:val="17"/>
          <w:szCs w:val="17"/>
        </w:rPr>
        <w:t xml:space="preserve">NOTA FISCAL, CÓDIGOS E VALIDAÇÕES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Tecnospeed — NT 2025.002: </w:t>
      </w:r>
      <w:hyperlink w:history="1" r:id="rIdsna9p6gn7pchiprxsnu65">
        <w:r>
          <w:rPr>
            <w:rFonts w:ascii="Calibri" w:cs="Calibri" w:eastAsia="Calibri" w:hAnsi="Calibri"/>
            <w:color w:val="1F4E8C"/>
            <w:sz w:val="18"/>
            <w:szCs w:val="18"/>
            <w:u w:val="single"/>
          </w:rPr>
          <w:t xml:space="preserve">https://blog.tecnospeed.com.br/nota-tecnica-reforma-tributaria-nfe-nfce/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Tecnospeed — tabela cClassTrib: </w:t>
      </w:r>
      <w:hyperlink w:history="1" r:id="rIdklsvabawfphdi1o7me6nb">
        <w:r>
          <w:rPr>
            <w:rFonts w:ascii="Calibri" w:cs="Calibri" w:eastAsia="Calibri" w:hAnsi="Calibri"/>
            <w:color w:val="1F4E8C"/>
            <w:sz w:val="18"/>
            <w:szCs w:val="18"/>
            <w:u w:val="single"/>
          </w:rPr>
          <w:t xml:space="preserve">https://blog.tecnospeed.com.br/tabela-cclasstrib/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Tecnospeed — NFS-e e cIndOp: </w:t>
      </w:r>
      <w:hyperlink w:history="1" r:id="rId3falht6_smzuiefpco5hc">
        <w:r>
          <w:rPr>
            <w:rFonts w:ascii="Calibri" w:cs="Calibri" w:eastAsia="Calibri" w:hAnsi="Calibri"/>
            <w:color w:val="1F4E8C"/>
            <w:sz w:val="18"/>
            <w:szCs w:val="18"/>
            <w:u w:val="single"/>
          </w:rPr>
          <w:t xml:space="preserve">https://blog.tecnospeed.com.br/nfs-e-nacional-tabela-de-indicadores-da-operacao/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e-Auditoria — cClassTrib: </w:t>
      </w:r>
      <w:hyperlink w:history="1" r:id="rId77cymqxd_eb8cicxaqzbf">
        <w:r>
          <w:rPr>
            <w:rFonts w:ascii="Calibri" w:cs="Calibri" w:eastAsia="Calibri" w:hAnsi="Calibri"/>
            <w:color w:val="1F4E8C"/>
            <w:sz w:val="18"/>
            <w:szCs w:val="18"/>
            <w:u w:val="single"/>
          </w:rPr>
          <w:t xml:space="preserve">https://www.e-auditoria.com.br/blog/cclasstrib/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TaxUp — CST do IBS/CBS: </w:t>
      </w:r>
      <w:hyperlink w:history="1" r:id="rIdman-vn66kje8ykgftgmx0">
        <w:r>
          <w:rPr>
            <w:rFonts w:ascii="Calibri" w:cs="Calibri" w:eastAsia="Calibri" w:hAnsi="Calibri"/>
            <w:color w:val="1F4E8C"/>
            <w:sz w:val="18"/>
            <w:szCs w:val="18"/>
            <w:u w:val="single"/>
          </w:rPr>
          <w:t xml:space="preserve">https://taxup.com.br/solucoes/reforma-tributaria/cst-ibs-cbs/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Portal Tributário — tabela CST: </w:t>
      </w:r>
      <w:hyperlink w:history="1" r:id="rIddsr-go3w-271lthnot5cr">
        <w:r>
          <w:rPr>
            <w:rFonts w:ascii="Calibri" w:cs="Calibri" w:eastAsia="Calibri" w:hAnsi="Calibri"/>
            <w:color w:val="1F4E8C"/>
            <w:sz w:val="18"/>
            <w:szCs w:val="18"/>
            <w:u w:val="single"/>
          </w:rPr>
          <w:t xml:space="preserve">https://www.portaltributario.com.br/noticias/tabela-cst-reforma-tributaria.htm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nfe.io — notas de crédito e débito: </w:t>
      </w:r>
      <w:hyperlink w:history="1" r:id="rIdrgjjqj0gooc7orzatrmol">
        <w:r>
          <w:rPr>
            <w:rFonts w:ascii="Calibri" w:cs="Calibri" w:eastAsia="Calibri" w:hAnsi="Calibri"/>
            <w:color w:val="1F4E8C"/>
            <w:sz w:val="18"/>
            <w:szCs w:val="18"/>
            <w:u w:val="single"/>
          </w:rPr>
          <w:t xml:space="preserve">https://nfe.io/docs/documentacao/reforma-tributaria/conceitos-funcionais/nota-fiscal-de-produto/notas-de-credito-e-debito/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Inventti — NT versão 1.36: </w:t>
      </w:r>
      <w:hyperlink w:history="1" r:id="rId5qj20jze22dvy-lf384mr">
        <w:r>
          <w:rPr>
            <w:rFonts w:ascii="Calibri" w:cs="Calibri" w:eastAsia="Calibri" w:hAnsi="Calibri"/>
            <w:color w:val="1F4E8C"/>
            <w:sz w:val="18"/>
            <w:szCs w:val="18"/>
            <w:u w:val="single"/>
          </w:rPr>
          <w:t xml:space="preserve">https://inventti.com.br/reforma-tributaria-versao-1-36-da-nt-2025-002-traz-novo-tipo-de-nota-de-credito-e-ajustes-nas-validacoes-da-nf-e-e-nfc-e/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Escola Superior — auditoria de NF-e: </w:t>
      </w:r>
      <w:hyperlink w:history="1" r:id="rIdbmkbjqtahnjfa45crz7ru">
        <w:r>
          <w:rPr>
            <w:rFonts w:ascii="Calibri" w:cs="Calibri" w:eastAsia="Calibri" w:hAnsi="Calibri"/>
            <w:color w:val="1F4E8C"/>
            <w:sz w:val="18"/>
            <w:szCs w:val="18"/>
            <w:u w:val="single"/>
          </w:rPr>
          <w:t xml:space="preserve">https://escolasuperioresn.com.br/auditoria-nfe-ibs-cbs-cclasstrib/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Contábeis — rejeição 1115 adiada: </w:t>
      </w:r>
      <w:hyperlink w:history="1" r:id="rIdb-yhvlvacqtvua3iw8vr7">
        <w:r>
          <w:rPr>
            <w:rFonts w:ascii="Calibri" w:cs="Calibri" w:eastAsia="Calibri" w:hAnsi="Calibri"/>
            <w:color w:val="1F4E8C"/>
            <w:sz w:val="18"/>
            <w:szCs w:val="18"/>
            <w:u w:val="single"/>
          </w:rPr>
          <w:t xml:space="preserve">https://www.contabeis.com.br/noticias/79337/nf-e-rejeicao-1115-de-ibs-e-cbs-adiada-mas-obrigacao-permanece</w:t>
        </w:r>
      </w:hyperlink>
    </w:p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color w:val="D9622B"/>
          <w:spacing w:val="20"/>
          <w:sz w:val="17"/>
          <w:szCs w:val="17"/>
        </w:rPr>
        <w:t xml:space="preserve">CANCELAMENTO, DEVOLUÇÕES E MULTAS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Sindifisco-MS — multa de até 66%: </w:t>
      </w:r>
      <w:hyperlink w:history="1" r:id="rIdzgsati-hqmgss95ejz-sk">
        <w:r>
          <w:rPr>
            <w:rFonts w:ascii="Calibri" w:cs="Calibri" w:eastAsia="Calibri" w:hAnsi="Calibri"/>
            <w:color w:val="1F4E8C"/>
            <w:sz w:val="18"/>
            <w:szCs w:val="18"/>
            <w:u w:val="single"/>
          </w:rPr>
          <w:t xml:space="preserve">https://www.sindifisco-ms.org.br/documentos-fiscais-cancelamento-irregular-pode-gerar-multa-de-ate-66-do-tributo/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notafiscal.cnt.br — multas na reforma: </w:t>
      </w:r>
      <w:hyperlink w:history="1" r:id="rIdzc7wthputysajhh5hhc_r">
        <w:r>
          <w:rPr>
            <w:rFonts w:ascii="Calibri" w:cs="Calibri" w:eastAsia="Calibri" w:hAnsi="Calibri"/>
            <w:color w:val="1F4E8C"/>
            <w:sz w:val="18"/>
            <w:szCs w:val="18"/>
            <w:u w:val="single"/>
          </w:rPr>
          <w:t xml:space="preserve">https://notafiscal.cnt.br/multas-na-reforma-tributaria-ibs-cbs/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Contábeis — devoluções e cancelamentos: </w:t>
      </w:r>
      <w:hyperlink w:history="1" r:id="rIdd-q1hyrskgoe_8yowtidt">
        <w:r>
          <w:rPr>
            <w:rFonts w:ascii="Calibri" w:cs="Calibri" w:eastAsia="Calibri" w:hAnsi="Calibri"/>
            <w:color w:val="1F4E8C"/>
            <w:sz w:val="18"/>
            <w:szCs w:val="18"/>
            <w:u w:val="single"/>
          </w:rPr>
          <w:t xml:space="preserve">https://www.contabeis.com.br/artigos/80109/ibs-e-cbs-como-tratar-devolucoes-e-cancelamentos/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EGS — cancelamento de NF-e na reforma: </w:t>
      </w:r>
      <w:hyperlink w:history="1" r:id="rId_dljbfdf9t_vqwg8u7ktr">
        <w:r>
          <w:rPr>
            <w:rFonts w:ascii="Calibri" w:cs="Calibri" w:eastAsia="Calibri" w:hAnsi="Calibri"/>
            <w:color w:val="1F4E8C"/>
            <w:sz w:val="18"/>
            <w:szCs w:val="18"/>
            <w:u w:val="single"/>
          </w:rPr>
          <w:t xml:space="preserve">https://blog.egssistemas.com.br/posts/cancelamento-de-nf-e-na-reforma-tributaria-o-que-muda-para-empresas</w:t>
        </w:r>
      </w:hyperlink>
    </w:p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color w:val="D9622B"/>
          <w:spacing w:val="20"/>
          <w:sz w:val="17"/>
          <w:szCs w:val="17"/>
        </w:rPr>
        <w:t xml:space="preserve">COMO MANTER ESTE ESTUDO ATUALIZADO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Portal da NF-e:</w:t>
      </w:r>
      <w:r>
        <w:rPr>
          <w:rFonts w:ascii="Calibri" w:cs="Calibri" w:eastAsia="Calibri" w:hAnsi="Calibri"/>
        </w:rPr>
        <w:t xml:space="preserve"> novas versões da NT 2025.002 e do Informe Técnico (tabelas cClassTrib e cCredPres).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Portal da NFS-e nacional:</w:t>
      </w:r>
      <w:r>
        <w:rPr>
          <w:rFonts w:ascii="Calibri" w:cs="Calibri" w:eastAsia="Calibri" w:hAnsi="Calibri"/>
        </w:rPr>
        <w:t xml:space="preserve"> anexos VII e VIII e o leiaute da DPS.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Receita Federal e CGIBS:</w:t>
      </w:r>
      <w:r>
        <w:rPr>
          <w:rFonts w:ascii="Calibri" w:cs="Calibri" w:eastAsia="Calibri" w:hAnsi="Calibri"/>
        </w:rPr>
        <w:t xml:space="preserve"> atos conjuntos, manual da API da apuração assistida e versões da Calculadora.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Senado:</w:t>
      </w:r>
      <w:r>
        <w:rPr>
          <w:rFonts w:ascii="Calibri" w:cs="Calibri" w:eastAsia="Calibri" w:hAnsi="Calibri"/>
        </w:rPr>
        <w:t xml:space="preserve"> a resolução com as alíquotas de referência.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Siscomex:</w:t>
      </w:r>
      <w:r>
        <w:rPr>
          <w:rFonts w:ascii="Calibri" w:cs="Calibri" w:eastAsia="Calibri" w:hAnsi="Calibri"/>
        </w:rPr>
        <w:t xml:space="preserve"> atualizações da tabela NCM.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 cada mudança, atualizar as tabelas versionadas no app, rodar os testes e avisar os clientes afetados.</w:t>
      </w:r>
    </w:p>
    <w:sectPr>
      <w:headerReference w:type="default" r:id="rId7"/>
      <w:footerReference w:type="default" r:id="rId8"/>
      <w:footerReference w:type="first" r:id="rId9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B6670"/>
        <w:sz w:val="16"/>
        <w:szCs w:val="16"/>
      </w:rPr>
      <w:t xml:space="preserve">Página </w:t>
    </w:r>
    <w:r>
      <w:rPr>
        <w:rFonts w:ascii="Calibri" w:cs="Calibri" w:eastAsia="Calibri" w:hAnsi="Calibri"/>
        <w:color w:val="5B66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B6670"/>
        <w:sz w:val="16"/>
        <w:szCs w:val="16"/>
      </w:rPr>
      <w:t xml:space="preserve">AthosBI · Estudo: nota fiscal sem erro na Reforma Tributária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1D7A5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4"/>
    <w:lvlOverride w:ilvl="0">
      <w:startOverride w:val="1"/>
    </w:lvlOverride>
  </w:num>
  <w:num w:numId="8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Calibri" w:cs="Calibri" w:eastAsia="Calibri" w:hAnsi="Calibri"/>
      <w:b/>
      <w:bCs/>
      <w:color w:val="14202B"/>
      <w:sz w:val="36"/>
      <w:szCs w:val="36"/>
    </w:rPr>
  </w:style>
  <w:style w:type="paragraph" w:styleId="Heading2">
    <w:name w:val="Heading 2"/>
    <w:basedOn w:val="Normal"/>
    <w:next w:val="Normal"/>
    <w:qFormat/>
    <w:pPr>
      <w:pBdr>
        <w:bottom w:val="single" w:color="D9622B" w:sz="6" w:space="4"/>
      </w:pBdr>
      <w:spacing w:after="100" w:before="360"/>
      <w:outlineLvl w:val="1"/>
    </w:pPr>
    <w:rPr>
      <w:rFonts w:ascii="Calibri" w:cs="Calibri" w:eastAsia="Calibri" w:hAnsi="Calibri"/>
      <w:b/>
      <w:bCs/>
      <w:color w:val="14202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80"/>
      <w:outlineLvl w:val="2"/>
    </w:pPr>
    <w:rPr>
      <w:rFonts w:ascii="Calibri" w:cs="Calibri" w:eastAsia="Calibri" w:hAnsi="Calibri"/>
      <w:b/>
      <w:bCs/>
      <w:color w:val="D9622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oywf-v7rslzjbakbiwlu8" Type="http://schemas.openxmlformats.org/officeDocument/2006/relationships/hyperlink" Target="https://www.planalto.gov.br/ccivil_03/leis/lcp/lcp214.htm" TargetMode="External"/><Relationship Id="rIdy_ll34hzhzijaqhggcm0e" Type="http://schemas.openxmlformats.org/officeDocument/2006/relationships/hyperlink" Target="https://www.cgibs.gov.br/upload/arquivos/202511/13142212-item-2-3-cartilha-do-ibs-vol-1-formatada-20251110-1506.pdf" TargetMode="External"/><Relationship Id="rIdnbmtdxynr3iafxwvlmqxn" Type="http://schemas.openxmlformats.org/officeDocument/2006/relationships/hyperlink" Target="https://www.gov.br/receitafederal/pt-br/assuntos/noticias/2025/julho/receita-federal-libera-ferramenta-oficial-de-calculo-da-reforma-tributaria-sobre-o-consumo" TargetMode="External"/><Relationship Id="rIdgqgrdwp3heiecn7qzlbab" Type="http://schemas.openxmlformats.org/officeDocument/2006/relationships/hyperlink" Target="https://www.gov.br/receitafederal/pt-br/centrais-de-conteudo/publicacoes/manuais/reforma-tributaria-do-consumo/manual-servicos-rtc.pdf" TargetMode="External"/><Relationship Id="rId9ekhox50cfwzn4ox7nb3k" Type="http://schemas.openxmlformats.org/officeDocument/2006/relationships/hyperlink" Target="https://piloto-cbs.tributos.gov.br/servico/calculadora-consumo/calculadora/validador-xml" TargetMode="External"/><Relationship Id="rIdtkfcxjwumy39y-bhp2evi" Type="http://schemas.openxmlformats.org/officeDocument/2006/relationships/hyperlink" Target="https://piloto-cbs.tributos.gov.br/servico/calculadora-consumo/calculadora/calculadora-offline" TargetMode="External"/><Relationship Id="rIdb8yxoyhcawur34tkz0i7a" Type="http://schemas.openxmlformats.org/officeDocument/2006/relationships/hyperlink" Target="https://agenciagov.ebc.com.br/noticias/202609/empresas-do-simples-nacional-ja-podem-optar-pelo-recolhimento-de-ibs-e-cbs-fora-do-regime-unificado" TargetMode="External"/><Relationship Id="rIdovrfs4uhpcksvlexxpbyu" Type="http://schemas.openxmlformats.org/officeDocument/2006/relationships/hyperlink" Target="https://portalunico.siscomex.gov.br/classif/" TargetMode="External"/><Relationship Id="rIdjamwsxilftnclf7l-zedv" Type="http://schemas.openxmlformats.org/officeDocument/2006/relationships/hyperlink" Target="https://revistas.pge.sp.gov.br/revistapegesp/article/download/1689/1732" TargetMode="External"/><Relationship Id="rIdoc-sdgofoiuskhcorad9r" Type="http://schemas.openxmlformats.org/officeDocument/2006/relationships/hyperlink" Target="https://www.e-auditoria.com.br/blog/apuracao-assistida/" TargetMode="External"/><Relationship Id="rIdsqtycqx7j7r-fhxda4o-u" Type="http://schemas.openxmlformats.org/officeDocument/2006/relationships/hyperlink" Target="https://www.meirafernandes.com.br/noticias/reforma-tributaria-2026-entenda-como-funcionara-a-apuracao-assistida-do-ibs-e-da-cbs/" TargetMode="External"/><Relationship Id="rIdd9ngjagd2cxxvskegqnhh" Type="http://schemas.openxmlformats.org/officeDocument/2006/relationships/hyperlink" Target="https://escolasuperioresn.com.br/rotina-fiscal-2027-apuracao-assistida-ibs-cbs/" TargetMode="External"/><Relationship Id="rIdmufsuwqgm1la4-uxe6b2x" Type="http://schemas.openxmlformats.org/officeDocument/2006/relationships/hyperlink" Target="https://jornalgrandebahia.com.br/2026/10/cbs-comeca-a-valer-em-2027-senado-definira-aliquota-e-governo-prepara-novas-regras-tributarias/" TargetMode="External"/><Relationship Id="rIdbyv85youqsb5k2qscwpxp" Type="http://schemas.openxmlformats.org/officeDocument/2006/relationships/hyperlink" Target="https://www.barbieriadvogados.com/transicao-tributaria-2026/" TargetMode="External"/><Relationship Id="rIdh2aytnn24q6d_bdsxdah4" Type="http://schemas.openxmlformats.org/officeDocument/2006/relationships/hyperlink" Target="https://www.omie.com.br/blog/receita-federal-adia-obrigatoriedade-do-split-payment-para-2028/" TargetMode="External"/><Relationship Id="rIdzk6tdxrs106rlp4yagv4u" Type="http://schemas.openxmlformats.org/officeDocument/2006/relationships/hyperlink" Target="https://berga.app/blog/reforma-tributaria-simples-nacional" TargetMode="External"/><Relationship Id="rIdsna9p6gn7pchiprxsnu65" Type="http://schemas.openxmlformats.org/officeDocument/2006/relationships/hyperlink" Target="https://blog.tecnospeed.com.br/nota-tecnica-reforma-tributaria-nfe-nfce/" TargetMode="External"/><Relationship Id="rIdklsvabawfphdi1o7me6nb" Type="http://schemas.openxmlformats.org/officeDocument/2006/relationships/hyperlink" Target="https://blog.tecnospeed.com.br/tabela-cclasstrib/" TargetMode="External"/><Relationship Id="rId3falht6_smzuiefpco5hc" Type="http://schemas.openxmlformats.org/officeDocument/2006/relationships/hyperlink" Target="https://blog.tecnospeed.com.br/nfs-e-nacional-tabela-de-indicadores-da-operacao/" TargetMode="External"/><Relationship Id="rId77cymqxd_eb8cicxaqzbf" Type="http://schemas.openxmlformats.org/officeDocument/2006/relationships/hyperlink" Target="https://www.e-auditoria.com.br/blog/cclasstrib/" TargetMode="External"/><Relationship Id="rIdman-vn66kje8ykgftgmx0" Type="http://schemas.openxmlformats.org/officeDocument/2006/relationships/hyperlink" Target="https://taxup.com.br/solucoes/reforma-tributaria/cst-ibs-cbs/" TargetMode="External"/><Relationship Id="rIddsr-go3w-271lthnot5cr" Type="http://schemas.openxmlformats.org/officeDocument/2006/relationships/hyperlink" Target="https://www.portaltributario.com.br/noticias/tabela-cst-reforma-tributaria.htm" TargetMode="External"/><Relationship Id="rIdrgjjqj0gooc7orzatrmol" Type="http://schemas.openxmlformats.org/officeDocument/2006/relationships/hyperlink" Target="https://nfe.io/docs/documentacao/reforma-tributaria/conceitos-funcionais/nota-fiscal-de-produto/notas-de-credito-e-debito/" TargetMode="External"/><Relationship Id="rId5qj20jze22dvy-lf384mr" Type="http://schemas.openxmlformats.org/officeDocument/2006/relationships/hyperlink" Target="https://inventti.com.br/reforma-tributaria-versao-1-36-da-nt-2025-002-traz-novo-tipo-de-nota-de-credito-e-ajustes-nas-validacoes-da-nf-e-e-nfc-e/" TargetMode="External"/><Relationship Id="rIdbmkbjqtahnjfa45crz7ru" Type="http://schemas.openxmlformats.org/officeDocument/2006/relationships/hyperlink" Target="https://escolasuperioresn.com.br/auditoria-nfe-ibs-cbs-cclasstrib/" TargetMode="External"/><Relationship Id="rIdb-yhvlvacqtvua3iw8vr7" Type="http://schemas.openxmlformats.org/officeDocument/2006/relationships/hyperlink" Target="https://www.contabeis.com.br/noticias/79337/nf-e-rejeicao-1115-de-ibs-e-cbs-adiada-mas-obrigacao-permanece" TargetMode="External"/><Relationship Id="rIdzgsati-hqmgss95ejz-sk" Type="http://schemas.openxmlformats.org/officeDocument/2006/relationships/hyperlink" Target="https://www.sindifisco-ms.org.br/documentos-fiscais-cancelamento-irregular-pode-gerar-multa-de-ate-66-do-tributo/" TargetMode="External"/><Relationship Id="rIdzc7wthputysajhh5hhc_r" Type="http://schemas.openxmlformats.org/officeDocument/2006/relationships/hyperlink" Target="https://notafiscal.cnt.br/multas-na-reforma-tributaria-ibs-cbs/" TargetMode="External"/><Relationship Id="rIdd-q1hyrskgoe_8yowtidt" Type="http://schemas.openxmlformats.org/officeDocument/2006/relationships/hyperlink" Target="https://www.contabeis.com.br/artigos/80109/ibs-e-cbs-como-tratar-devolucoes-e-cancelamentos/" TargetMode="External"/><Relationship Id="rId_dljbfdf9t_vqwg8u7ktr" Type="http://schemas.openxmlformats.org/officeDocument/2006/relationships/hyperlink" Target="https://blog.egssistemas.com.br/posts/cancelamento-de-nf-e-na-reforma-tributaria-o-que-muda-para-empresas" TargetMode="External"/><Relationship Id="rId4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AthosBI — Nota fiscal sem erro na Reforma Tributária</dc:title>
  <dc:creator>AthosBI</dc:creator>
  <cp:lastModifiedBy>Un-named</cp:lastModifiedBy>
  <cp:revision>1</cp:revision>
  <dcterms:created xsi:type="dcterms:W3CDTF">2026-10-26T23:23:06.505Z</dcterms:created>
  <dcterms:modified xsi:type="dcterms:W3CDTF">2026-10-26T23:23:06.505Z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