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Copia de seguridad del correo de IMTEX</w:t>
      </w:r>
    </w:p>
    <w:p>
      <w:r>
        <w:rPr>
          <w:b/>
        </w:rPr>
        <w:t xml:space="preserve">Paso 1 de 3 · Hacerlo esta semana, antes de enviar ningún escrito.</w:t>
      </w:r>
    </w:p>
    <w:p>
      <w:r>
        <w:t xml:space="preserve">Se trata de guardar en un ordenador de IMTEX todos los correos de las direcciones @imtexsl.com. La copia no borra ni cambia nada: el correo sigue funcionando igual que siempre. Así, pase lo que pase con el proveedor actual, no se pierde ningún correo.</w:t>
      </w:r>
    </w:p>
    <w:p>
      <w:r>
        <w:t xml:space="preserve">Hay que hacerla con </w:t>
      </w:r>
      <w:r>
        <w:rPr>
          <w:b/>
        </w:rPr>
        <w:t xml:space="preserve">cada dirección @imtexsl.com</w:t>
      </w:r>
      <w:r>
        <w:t xml:space="preserve">, una por una.</w:t>
      </w:r>
    </w:p>
    <w:p>
      <w:pPr>
        <w:pStyle w:val="Heading1"/>
      </w:pPr>
      <w:r>
        <w:t xml:space="preserve">Antes de empezar: la lista de buzones</w:t>
      </w:r>
    </w:p>
    <w:p>
      <w:r>
        <w:t xml:space="preserve">Apuntad todas las direcciones @imtexsl.com que se usan, también las generales (por ejemplo, imtex@imtexsl.com). Esta lista nos hace falta después para crearlas iguales en el servicio nuevo.</w:t>
      </w:r>
    </w:p>
    <w:tbl>
      <w:tblPr>
        <w:tblW w:w="5000" w:type="pct"/>
        <w:tblBorders>
          <w:top w:val="single" w:sz="4" w:space="0" w:color="9A9AA6"/>
          <w:left w:val="single" w:sz="4" w:space="0" w:color="9A9AA6"/>
          <w:bottom w:val="single" w:sz="4" w:space="0" w:color="9A9AA6"/>
          <w:right w:val="single" w:sz="4" w:space="0" w:color="9A9AA6"/>
          <w:insideH w:val="single" w:sz="4" w:space="0" w:color="9A9AA6"/>
          <w:insideV w:val="single" w:sz="4" w:space="0" w:color="9A9A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w="1814" w:type="dxa"/>
            <w:shd w:val="clear" w:color="auto" w:fill="EDEDF0"/>
          </w:tcPr>
          <w:p>
            <w:pPr>
              <w:spacing w:after="0"/>
            </w:pPr>
            <w:r>
              <w:rPr>
                <w:b/>
              </w:rPr>
              <w:t xml:space="preserve">Dirección @imtexsl.com</w:t>
            </w:r>
          </w:p>
        </w:tc>
        <w:tc>
          <w:tcPr>
            <w:tcW w:w="1814" w:type="dxa"/>
            <w:shd w:val="clear" w:color="auto" w:fill="EDEDF0"/>
          </w:tcPr>
          <w:p>
            <w:pPr>
              <w:spacing w:after="0"/>
            </w:pPr>
            <w:r>
              <w:rPr>
                <w:b/>
              </w:rPr>
              <w:t xml:space="preserve">Quién la usa</w:t>
            </w:r>
          </w:p>
        </w:tc>
        <w:tc>
          <w:tcPr>
            <w:tcW w:w="1814" w:type="dxa"/>
            <w:shd w:val="clear" w:color="auto" w:fill="EDEDF0"/>
          </w:tcPr>
          <w:p>
            <w:pPr>
              <w:spacing w:after="0"/>
            </w:pPr>
            <w:r>
              <w:rPr>
                <w:b/>
              </w:rPr>
              <w:t xml:space="preserve">Dónde la lee (Outlook, móvil, web…)</w:t>
            </w:r>
          </w:p>
        </w:tc>
        <w:tc>
          <w:tcPr>
            <w:tcW w:w="1814" w:type="dxa"/>
            <w:shd w:val="clear" w:color="auto" w:fill="EDEDF0"/>
          </w:tcPr>
          <w:p>
            <w:pPr>
              <w:spacing w:after="0"/>
            </w:pPr>
            <w:r>
              <w:rPr>
                <w:b/>
              </w:rPr>
              <w:t xml:space="preserve">¿Sabe la contraseña?</w:t>
            </w:r>
          </w:p>
        </w:tc>
        <w:tc>
          <w:tcPr>
            <w:tcW w:w="1814" w:type="dxa"/>
            <w:shd w:val="clear" w:color="auto" w:fill="EDEDF0"/>
          </w:tcPr>
          <w:p>
            <w:pPr>
              <w:spacing w:after="0"/>
            </w:pPr>
            <w:r>
              <w:rPr>
                <w:b/>
              </w:rPr>
              <w:t xml:space="preserve">¿Copia hecha?</w:t>
            </w:r>
          </w:p>
        </w:tc>
      </w:tr>
      <w:tr>
        <w:trPr>
          <w:trHeight w:val="480"/>
        </w:trPr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  <w:tc>
          <w:tcPr>
            <w:tcW w:w="1814" w:type="dxa"/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1"/>
      </w:pPr>
      <w:r>
        <w:t xml:space="preserve">Qué opción usar</w:t>
      </w:r>
    </w:p>
    <w:p>
      <w:pPr>
        <w:tabs>
          <w:tab w:val="left" w:pos="567"/>
        </w:tabs>
        <w:spacing w:after="80"/>
        <w:ind w:left="567" w:hanging="340"/>
      </w:pPr>
      <w:r>
        <w:t xml:space="preserve">•</w:t>
      </w:r>
      <w:r>
        <w:tab/>
      </w:r>
      <w:r>
        <w:rPr>
          <w:b/>
        </w:rPr>
        <w:t xml:space="preserve">Opción A, con Outlook:</w:t>
      </w:r>
      <w:r>
        <w:t xml:space="preserve"> para quien lee el correo en el ordenador con Outlook, el de siempre. No hace falta saber la contraseña.</w:t>
      </w:r>
    </w:p>
    <w:p>
      <w:pPr>
        <w:tabs>
          <w:tab w:val="left" w:pos="567"/>
        </w:tabs>
        <w:spacing w:after="80"/>
        <w:ind w:left="567" w:hanging="340"/>
      </w:pPr>
      <w:r>
        <w:t xml:space="preserve">•</w:t>
      </w:r>
      <w:r>
        <w:tab/>
      </w:r>
      <w:r>
        <w:rPr>
          <w:b/>
        </w:rPr>
        <w:t xml:space="preserve">Opción B, con Thunderbird:</w:t>
      </w:r>
      <w:r>
        <w:t xml:space="preserve"> para quien lo lee solo en el móvil, en la página web del correo o en el «nuevo Outlook». Hace falta la contraseña del buzón.</w:t>
      </w:r>
    </w:p>
    <w:p>
      <w:r>
        <w:t xml:space="preserve">Si una dirección se abre en varios sitios, basta con una copia hecha desde el ordenador donde estén </w:t>
      </w:r>
      <w:r>
        <w:rPr>
          <w:b/>
        </w:rPr>
        <w:t xml:space="preserve">todos</w:t>
      </w:r>
      <w:r>
        <w:t xml:space="preserve"> sus correos antiguos.</w:t>
      </w:r>
    </w:p>
    <w:p>
      <w:pPr>
        <w:pStyle w:val="Heading1"/>
      </w:pPr>
      <w:r>
        <w:t xml:space="preserve">Opción A · Copia desde Outlook</w:t>
      </w:r>
    </w:p>
    <w:p>
      <w:pPr>
        <w:tabs>
          <w:tab w:val="left" w:pos="567"/>
        </w:tabs>
        <w:spacing w:after="80"/>
        <w:ind w:left="567" w:hanging="340"/>
      </w:pPr>
      <w:r>
        <w:t xml:space="preserve">1.</w:t>
      </w:r>
      <w:r>
        <w:tab/>
      </w:r>
      <w:r>
        <w:t xml:space="preserve">Abrir Outlook y pulsar </w:t>
      </w:r>
      <w:r>
        <w:rPr>
          <w:b/>
        </w:rPr>
        <w:t xml:space="preserve">Archivo</w:t>
      </w:r>
      <w:r>
        <w:t xml:space="preserve">.</w:t>
      </w:r>
    </w:p>
    <w:p>
      <w:pPr>
        <w:tabs>
          <w:tab w:val="left" w:pos="567"/>
        </w:tabs>
        <w:spacing w:after="80"/>
        <w:ind w:left="567" w:hanging="340"/>
      </w:pPr>
      <w:r>
        <w:t xml:space="preserve">2.</w:t>
      </w:r>
      <w:r>
        <w:tab/>
      </w:r>
      <w:r>
        <w:t xml:space="preserve">Pulsar </w:t>
      </w:r>
      <w:r>
        <w:rPr>
          <w:b/>
        </w:rPr>
        <w:t xml:space="preserve">Abrir y exportar</w:t>
      </w:r>
      <w:r>
        <w:t xml:space="preserve"> y después </w:t>
      </w:r>
      <w:r>
        <w:rPr>
          <w:b/>
        </w:rPr>
        <w:t xml:space="preserve">Importar o exportar</w:t>
      </w:r>
      <w:r>
        <w:t xml:space="preserve">.</w:t>
      </w:r>
    </w:p>
    <w:p>
      <w:pPr>
        <w:tabs>
          <w:tab w:val="left" w:pos="567"/>
        </w:tabs>
        <w:spacing w:after="80"/>
        <w:ind w:left="567" w:hanging="340"/>
      </w:pPr>
      <w:r>
        <w:t xml:space="preserve">3.</w:t>
      </w:r>
      <w:r>
        <w:tab/>
      </w:r>
      <w:r>
        <w:t xml:space="preserve">Elegir </w:t>
      </w:r>
      <w:r>
        <w:rPr>
          <w:b/>
        </w:rPr>
        <w:t xml:space="preserve">Exportar a un archivo</w:t>
      </w:r>
      <w:r>
        <w:t xml:space="preserve"> y pulsar </w:t>
      </w:r>
      <w:r>
        <w:rPr>
          <w:b/>
        </w:rPr>
        <w:t xml:space="preserve">Siguiente</w:t>
      </w:r>
      <w:r>
        <w:t xml:space="preserve">.</w:t>
      </w:r>
    </w:p>
    <w:p>
      <w:pPr>
        <w:tabs>
          <w:tab w:val="left" w:pos="567"/>
        </w:tabs>
        <w:spacing w:after="80"/>
        <w:ind w:left="567" w:hanging="340"/>
      </w:pPr>
      <w:r>
        <w:t xml:space="preserve">4.</w:t>
      </w:r>
      <w:r>
        <w:tab/>
      </w:r>
      <w:r>
        <w:t xml:space="preserve">Elegir </w:t>
      </w:r>
      <w:r>
        <w:rPr>
          <w:b/>
        </w:rPr>
        <w:t xml:space="preserve">Archivo de datos de Outlook (.pst)</w:t>
      </w:r>
      <w:r>
        <w:t xml:space="preserve"> y pulsar </w:t>
      </w:r>
      <w:r>
        <w:rPr>
          <w:b/>
        </w:rPr>
        <w:t xml:space="preserve">Siguiente</w:t>
      </w:r>
      <w:r>
        <w:t xml:space="preserve">.</w:t>
      </w:r>
    </w:p>
    <w:p>
      <w:pPr>
        <w:tabs>
          <w:tab w:val="left" w:pos="567"/>
        </w:tabs>
        <w:spacing w:after="80"/>
        <w:ind w:left="567" w:hanging="340"/>
      </w:pPr>
      <w:r>
        <w:t xml:space="preserve">5.</w:t>
      </w:r>
      <w:r>
        <w:tab/>
      </w:r>
      <w:r>
        <w:t xml:space="preserve">Seleccionar la línea de arriba del todo, la que tiene la dirección @imtexsl.com, y marcar </w:t>
      </w:r>
      <w:r>
        <w:rPr>
          <w:b/>
        </w:rPr>
        <w:t xml:space="preserve">Incluir subcarpetas</w:t>
      </w:r>
      <w:r>
        <w:t xml:space="preserve">. Pulsar </w:t>
      </w:r>
      <w:r>
        <w:rPr>
          <w:b/>
        </w:rPr>
        <w:t xml:space="preserve">Siguiente</w:t>
      </w:r>
      <w:r>
        <w:t xml:space="preserve">.</w:t>
      </w:r>
    </w:p>
    <w:p>
      <w:pPr>
        <w:tabs>
          <w:tab w:val="left" w:pos="567"/>
        </w:tabs>
        <w:spacing w:after="80"/>
        <w:ind w:left="567" w:hanging="340"/>
      </w:pPr>
      <w:r>
        <w:t xml:space="preserve">6.</w:t>
      </w:r>
      <w:r>
        <w:tab/>
      </w:r>
      <w:r>
        <w:t xml:space="preserve">Con </w:t>
      </w:r>
      <w:r>
        <w:rPr>
          <w:b/>
        </w:rPr>
        <w:t xml:space="preserve">Examinar</w:t>
      </w:r>
      <w:r>
        <w:t xml:space="preserve">, elegir dónde guardar el archivo y ponerle un nombre claro, por ejemplo copia-correo-</w:t>
      </w:r>
      <w:r>
        <w:rPr>
          <w:highlight w:val="yellow"/>
        </w:rPr>
        <w:t xml:space="preserve">[nombre]</w:t>
      </w:r>
      <w:r>
        <w:t xml:space="preserve">-octubre-2026.pst. Pulsar </w:t>
      </w:r>
      <w:r>
        <w:rPr>
          <w:b/>
        </w:rPr>
        <w:t xml:space="preserve">Finalizar</w:t>
      </w:r>
      <w:r>
        <w:t xml:space="preserve">.</w:t>
      </w:r>
    </w:p>
    <w:p>
      <w:pPr>
        <w:tabs>
          <w:tab w:val="left" w:pos="567"/>
        </w:tabs>
        <w:spacing w:after="80"/>
        <w:ind w:left="567" w:hanging="340"/>
      </w:pPr>
      <w:r>
        <w:t xml:space="preserve">7.</w:t>
      </w:r>
      <w:r>
        <w:tab/>
      </w:r>
      <w:r>
        <w:t xml:space="preserve">Si pide una contraseña para el archivo, se puede dejar en blanco y pulsar </w:t>
      </w:r>
      <w:r>
        <w:rPr>
          <w:b/>
        </w:rPr>
        <w:t xml:space="preserve">Aceptar</w:t>
      </w:r>
      <w:r>
        <w:t xml:space="preserve">.</w:t>
      </w:r>
    </w:p>
    <w:p>
      <w:pPr>
        <w:tabs>
          <w:tab w:val="left" w:pos="567"/>
        </w:tabs>
        <w:spacing w:after="80"/>
        <w:ind w:left="567" w:hanging="340"/>
      </w:pPr>
      <w:r>
        <w:t xml:space="preserve">8.</w:t>
      </w:r>
      <w:r>
        <w:tab/>
      </w:r>
      <w:r>
        <w:t xml:space="preserve">Esperar a que termine: con muchos correos puede tardar un buen rato.</w:t>
      </w:r>
    </w:p>
    <w:p>
      <w:pPr>
        <w:pStyle w:val="Nota"/>
      </w:pPr>
      <w:r>
        <w:t xml:space="preserve">Si no aparece «Abrir y exportar», es que se usa el «nuevo Outlook». En ese caso, usad la opción B.</w:t>
      </w:r>
    </w:p>
    <w:p>
      <w:pPr>
        <w:pStyle w:val="Nota"/>
      </w:pPr>
      <w:r>
        <w:t xml:space="preserve">Ojo con los ordenadores donde el correo se descarga con POP: los correos antiguos pueden estar solo en ese ordenador y no en el servidor. Para saberlo: Archivo → Configuración de la cuenta → Configuración de la cuenta…, y mirar la columna «Tipo». Si pone POP/SMTP, hay que hacer la copia en todos los ordenadores donde se abra esa dirección.</w:t>
      </w:r>
    </w:p>
    <w:p>
      <w:pPr>
        <w:pStyle w:val="Heading1"/>
      </w:pPr>
      <w:r>
        <w:t xml:space="preserve">Opción B · Copia con Thunderbird (gratis)</w:t>
      </w:r>
    </w:p>
    <w:p>
      <w:pPr>
        <w:tabs>
          <w:tab w:val="left" w:pos="567"/>
        </w:tabs>
        <w:spacing w:after="80"/>
        <w:ind w:left="567" w:hanging="340"/>
      </w:pPr>
      <w:r>
        <w:t xml:space="preserve">1.</w:t>
      </w:r>
      <w:r>
        <w:tab/>
      </w:r>
      <w:r>
        <w:t xml:space="preserve">Descargar Thunderbird desde thunderbird.net (es gratuito) e instalarlo en un ordenador de la oficina.</w:t>
      </w:r>
    </w:p>
    <w:p>
      <w:pPr>
        <w:tabs>
          <w:tab w:val="left" w:pos="567"/>
        </w:tabs>
        <w:spacing w:after="80"/>
        <w:ind w:left="567" w:hanging="340"/>
      </w:pPr>
      <w:r>
        <w:t xml:space="preserve">2.</w:t>
      </w:r>
      <w:r>
        <w:tab/>
      </w:r>
      <w:r>
        <w:t xml:space="preserve">Al abrirlo, pide añadir una cuenta. Escribir el nombre, la dirección @imtexsl.com y su contraseña, y pulsar </w:t>
      </w:r>
      <w:r>
        <w:rPr>
          <w:b/>
        </w:rPr>
        <w:t xml:space="preserve">Configurar manualmente</w:t>
      </w:r>
      <w:r>
        <w:t xml:space="preserve">.</w:t>
      </w:r>
    </w:p>
    <w:p>
      <w:pPr>
        <w:tabs>
          <w:tab w:val="left" w:pos="567"/>
        </w:tabs>
        <w:spacing w:after="80"/>
        <w:ind w:left="567" w:hanging="340"/>
      </w:pPr>
      <w:r>
        <w:t xml:space="preserve">3.</w:t>
      </w:r>
      <w:r>
        <w:tab/>
      </w:r>
      <w:r>
        <w:t xml:space="preserve">Rellenar así:</w:t>
      </w:r>
    </w:p>
    <w:p>
      <w:pPr>
        <w:tabs>
          <w:tab w:val="left" w:pos="992"/>
        </w:tabs>
        <w:spacing w:after="80"/>
        <w:ind w:left="992" w:hanging="340"/>
      </w:pPr>
      <w:r>
        <w:t xml:space="preserve">•</w:t>
      </w:r>
      <w:r>
        <w:tab/>
      </w:r>
      <w:r>
        <w:t xml:space="preserve">Servidor entrante: </w:t>
      </w:r>
      <w:r>
        <w:rPr>
          <w:b/>
        </w:rPr>
        <w:t xml:space="preserve">IMAP</w:t>
      </w:r>
      <w:r>
        <w:t xml:space="preserve">, servidor </w:t>
      </w:r>
      <w:r>
        <w:rPr>
          <w:b/>
        </w:rPr>
        <w:t xml:space="preserve">mail.imtexsl.com</w:t>
      </w:r>
      <w:r>
        <w:t xml:space="preserve">, puerto </w:t>
      </w:r>
      <w:r>
        <w:rPr>
          <w:b/>
        </w:rPr>
        <w:t xml:space="preserve">993</w:t>
      </w:r>
      <w:r>
        <w:t xml:space="preserve">, seguridad </w:t>
      </w:r>
      <w:r>
        <w:rPr>
          <w:b/>
        </w:rPr>
        <w:t xml:space="preserve">SSL/TLS</w:t>
      </w:r>
      <w:r>
        <w:t xml:space="preserve">, autenticación </w:t>
      </w:r>
      <w:r>
        <w:rPr>
          <w:b/>
        </w:rPr>
        <w:t xml:space="preserve">Contraseña normal</w:t>
      </w:r>
      <w:r>
        <w:t xml:space="preserve">, usuario: </w:t>
      </w:r>
      <w:r>
        <w:rPr>
          <w:b/>
        </w:rPr>
        <w:t xml:space="preserve">la dirección completa</w:t>
      </w:r>
      <w:r>
        <w:t xml:space="preserve">.</w:t>
      </w:r>
    </w:p>
    <w:p>
      <w:pPr>
        <w:tabs>
          <w:tab w:val="left" w:pos="992"/>
        </w:tabs>
        <w:spacing w:after="80"/>
        <w:ind w:left="992" w:hanging="340"/>
      </w:pPr>
      <w:r>
        <w:t xml:space="preserve">•</w:t>
      </w:r>
      <w:r>
        <w:tab/>
      </w:r>
      <w:r>
        <w:t xml:space="preserve">Servidor saliente: </w:t>
      </w:r>
      <w:r>
        <w:rPr>
          <w:b/>
        </w:rPr>
        <w:t xml:space="preserve">SMTP</w:t>
      </w:r>
      <w:r>
        <w:t xml:space="preserve">, servidor </w:t>
      </w:r>
      <w:r>
        <w:rPr>
          <w:b/>
        </w:rPr>
        <w:t xml:space="preserve">mail.imtexsl.com</w:t>
      </w:r>
      <w:r>
        <w:t xml:space="preserve">, puerto </w:t>
      </w:r>
      <w:r>
        <w:rPr>
          <w:b/>
        </w:rPr>
        <w:t xml:space="preserve">465</w:t>
      </w:r>
      <w:r>
        <w:t xml:space="preserve">, seguridad </w:t>
      </w:r>
      <w:r>
        <w:rPr>
          <w:b/>
        </w:rPr>
        <w:t xml:space="preserve">SSL/TLS</w:t>
      </w:r>
      <w:r>
        <w:t xml:space="preserve">, autenticación </w:t>
      </w:r>
      <w:r>
        <w:rPr>
          <w:b/>
        </w:rPr>
        <w:t xml:space="preserve">Contraseña normal</w:t>
      </w:r>
      <w:r>
        <w:t xml:space="preserve">, usuario: </w:t>
      </w:r>
      <w:r>
        <w:rPr>
          <w:b/>
        </w:rPr>
        <w:t xml:space="preserve">la dirección completa</w:t>
      </w:r>
      <w:r>
        <w:t xml:space="preserve">.</w:t>
      </w:r>
    </w:p>
    <w:p>
      <w:pPr>
        <w:tabs>
          <w:tab w:val="left" w:pos="567"/>
        </w:tabs>
        <w:spacing w:after="80"/>
        <w:ind w:left="567" w:hanging="340"/>
      </w:pPr>
      <w:r>
        <w:t xml:space="preserve">4.</w:t>
      </w:r>
      <w:r>
        <w:tab/>
      </w:r>
      <w:r>
        <w:t xml:space="preserve">Pulsar </w:t>
      </w:r>
      <w:r>
        <w:rPr>
          <w:b/>
        </w:rPr>
        <w:t xml:space="preserve">Volver a probar</w:t>
      </w:r>
      <w:r>
        <w:t xml:space="preserve"> y después </w:t>
      </w:r>
      <w:r>
        <w:rPr>
          <w:b/>
        </w:rPr>
        <w:t xml:space="preserve">Hecho</w:t>
      </w:r>
      <w:r>
        <w:t xml:space="preserve">.</w:t>
      </w:r>
    </w:p>
    <w:p>
      <w:pPr>
        <w:tabs>
          <w:tab w:val="left" w:pos="567"/>
        </w:tabs>
        <w:spacing w:after="80"/>
        <w:ind w:left="567" w:hanging="340"/>
      </w:pPr>
      <w:r>
        <w:t xml:space="preserve">5.</w:t>
      </w:r>
      <w:r>
        <w:tab/>
      </w:r>
      <w:r>
        <w:t xml:space="preserve">Esperar a que aparezcan todas las carpetas (Bandeja de entrada, Enviados y las demás) y a que terminen de descargarse los correos. Abajo se ve el progreso.</w:t>
      </w:r>
    </w:p>
    <w:p>
      <w:pPr>
        <w:tabs>
          <w:tab w:val="left" w:pos="567"/>
        </w:tabs>
        <w:spacing w:after="80"/>
        <w:ind w:left="567" w:hanging="340"/>
      </w:pPr>
      <w:r>
        <w:t xml:space="preserve">6.</w:t>
      </w:r>
      <w:r>
        <w:tab/>
      </w:r>
      <w:r>
        <w:t xml:space="preserve">Crear una carpeta que no dependa del servidor: en el panel de la izquierda, clic derecho en </w:t>
      </w:r>
      <w:r>
        <w:rPr>
          <w:b/>
        </w:rPr>
        <w:t xml:space="preserve">Carpetas locales</w:t>
      </w:r>
      <w:r>
        <w:t xml:space="preserve"> → </w:t>
      </w:r>
      <w:r>
        <w:rPr>
          <w:b/>
        </w:rPr>
        <w:t xml:space="preserve">Nueva carpeta…</w:t>
      </w:r>
      <w:r>
        <w:t xml:space="preserve"> y ponerle el nombre del buzón.</w:t>
      </w:r>
    </w:p>
    <w:p>
      <w:pPr>
        <w:tabs>
          <w:tab w:val="left" w:pos="567"/>
        </w:tabs>
        <w:spacing w:after="80"/>
        <w:ind w:left="567" w:hanging="340"/>
      </w:pPr>
      <w:r>
        <w:t xml:space="preserve">7.</w:t>
      </w:r>
      <w:r>
        <w:tab/>
      </w:r>
      <w:r>
        <w:t xml:space="preserve">Copiar los correos a esa carpeta. En cada carpeta del buzón (Bandeja de entrada, Enviados y las demás): entrar en ella, pulsar </w:t>
      </w:r>
      <w:r>
        <w:rPr>
          <w:b/>
        </w:rPr>
        <w:t xml:space="preserve">Ctrl + A</w:t>
      </w:r>
      <w:r>
        <w:t xml:space="preserve"> para seleccionar todos los correos, clic derecho → </w:t>
      </w:r>
      <w:r>
        <w:rPr>
          <w:b/>
        </w:rPr>
        <w:t xml:space="preserve">Copiar a</w:t>
      </w:r>
      <w:r>
        <w:t xml:space="preserve"> → </w:t>
      </w:r>
      <w:r>
        <w:rPr>
          <w:b/>
        </w:rPr>
        <w:t xml:space="preserve">Carpetas locales</w:t>
      </w:r>
      <w:r>
        <w:t xml:space="preserve"> → la carpeta creada.</w:t>
      </w:r>
    </w:p>
    <w:p>
      <w:pPr>
        <w:tabs>
          <w:tab w:val="left" w:pos="567"/>
        </w:tabs>
        <w:spacing w:after="80"/>
        <w:ind w:left="567" w:hanging="340"/>
      </w:pPr>
      <w:r>
        <w:t xml:space="preserve">8.</w:t>
      </w:r>
      <w:r>
        <w:tab/>
      </w:r>
      <w:r>
        <w:t xml:space="preserve">Repetir los pasos 2 a 7 con cada dirección. Thunderbird admite varias cuentas a la vez.</w:t>
      </w:r>
    </w:p>
    <w:p>
      <w:pPr>
        <w:pStyle w:val="Nota"/>
      </w:pPr>
      <w:r>
        <w:t xml:space="preserve">Importante: en Thunderbird no hay que borrar ni mover nada de las carpetas del buzón, solo </w:t>
      </w:r>
      <w:r>
        <w:rPr>
          <w:b/>
        </w:rPr>
        <w:t xml:space="preserve">copiar</w:t>
      </w:r>
      <w:r>
        <w:t xml:space="preserve">. Lo que se borra ahí, se borra también del servidor.</w:t>
      </w:r>
    </w:p>
    <w:p>
      <w:pPr>
        <w:pStyle w:val="Heading1"/>
      </w:pPr>
      <w:r>
        <w:t xml:space="preserve">Guardar la copia en un sitio seguro</w:t>
      </w:r>
    </w:p>
    <w:p>
      <w:pPr>
        <w:tabs>
          <w:tab w:val="left" w:pos="567"/>
        </w:tabs>
        <w:spacing w:after="80"/>
        <w:ind w:left="567" w:hanging="340"/>
      </w:pPr>
      <w:r>
        <w:t xml:space="preserve">•</w:t>
      </w:r>
      <w:r>
        <w:tab/>
      </w:r>
      <w:r>
        <w:rPr>
          <w:b/>
        </w:rPr>
        <w:t xml:space="preserve">Opción A:</w:t>
      </w:r>
      <w:r>
        <w:t xml:space="preserve"> copiar los archivos .pst a un disco externo o a un USB.</w:t>
      </w:r>
    </w:p>
    <w:p>
      <w:pPr>
        <w:tabs>
          <w:tab w:val="left" w:pos="567"/>
        </w:tabs>
        <w:spacing w:after="80"/>
        <w:ind w:left="567" w:hanging="340"/>
      </w:pPr>
      <w:r>
        <w:t xml:space="preserve">•</w:t>
      </w:r>
      <w:r>
        <w:tab/>
      </w:r>
      <w:r>
        <w:rPr>
          <w:b/>
        </w:rPr>
        <w:t xml:space="preserve">Opción B:</w:t>
      </w:r>
      <w:r>
        <w:t xml:space="preserve"> en Thunderbird, Menú (☰) → Ayuda → </w:t>
      </w:r>
      <w:r>
        <w:rPr>
          <w:b/>
        </w:rPr>
        <w:t xml:space="preserve">Información para solucionar problemas</w:t>
      </w:r>
      <w:r>
        <w:t xml:space="preserve"> → en «Carpeta de perfil», </w:t>
      </w:r>
      <w:r>
        <w:rPr>
          <w:b/>
        </w:rPr>
        <w:t xml:space="preserve">Abrir carpeta</w:t>
      </w:r>
      <w:r>
        <w:t xml:space="preserve">. Cerrar Thunderbird y copiar esa carpeta entera a un disco externo o a un USB.</w:t>
      </w:r>
    </w:p>
    <w:p>
      <w:pPr>
        <w:tabs>
          <w:tab w:val="left" w:pos="567"/>
        </w:tabs>
        <w:spacing w:after="80"/>
        <w:ind w:left="567" w:hanging="340"/>
      </w:pPr>
      <w:r>
        <w:t xml:space="preserve">•</w:t>
      </w:r>
      <w:r>
        <w:tab/>
      </w:r>
      <w:r>
        <w:t xml:space="preserve">Que la copia quede </w:t>
      </w:r>
      <w:r>
        <w:rPr>
          <w:b/>
        </w:rPr>
        <w:t xml:space="preserve">en dos sitios</w:t>
      </w:r>
      <w:r>
        <w:t xml:space="preserve">: en el ordenador y en el disco externo o USB.</w:t>
      </w:r>
    </w:p>
    <w:p>
      <w:pPr>
        <w:tabs>
          <w:tab w:val="left" w:pos="567"/>
        </w:tabs>
        <w:spacing w:after="80"/>
        <w:ind w:left="567" w:hanging="340"/>
      </w:pPr>
      <w:r>
        <w:t xml:space="preserve">•</w:t>
      </w:r>
      <w:r>
        <w:tab/>
      </w:r>
      <w:r>
        <w:t xml:space="preserve">La copia contiene información confidencial de la empresa: guardadla en un lugar seguro y no la subáis a servicios públicos.</w:t>
      </w:r>
    </w:p>
    <w:p>
      <w:pPr>
        <w:pStyle w:val="Heading1"/>
      </w:pPr>
      <w:r>
        <w:t xml:space="preserve">Mientras tanto</w:t>
      </w:r>
    </w:p>
    <w:p>
      <w:pPr>
        <w:tabs>
          <w:tab w:val="left" w:pos="567"/>
        </w:tabs>
        <w:spacing w:after="80"/>
        <w:ind w:left="567" w:hanging="340"/>
      </w:pPr>
      <w:r>
        <w:t xml:space="preserve">•</w:t>
      </w:r>
      <w:r>
        <w:tab/>
      </w:r>
      <w:r>
        <w:t xml:space="preserve">No borrar correos del servidor ni cambiar nada de la configuración.</w:t>
      </w:r>
    </w:p>
    <w:p>
      <w:pPr>
        <w:tabs>
          <w:tab w:val="left" w:pos="567"/>
        </w:tabs>
        <w:spacing w:after="80"/>
        <w:ind w:left="567" w:hanging="340"/>
      </w:pPr>
      <w:r>
        <w:t xml:space="preserve">•</w:t>
      </w:r>
      <w:r>
        <w:tab/>
      </w:r>
      <w:r>
        <w:t xml:space="preserve">No dar de baja ni dejar de pagar ningún servicio del proveedor actual.</w:t>
      </w:r>
    </w:p>
    <w:p>
      <w:pPr>
        <w:tabs>
          <w:tab w:val="left" w:pos="567"/>
        </w:tabs>
        <w:spacing w:after="80"/>
        <w:ind w:left="567" w:hanging="340"/>
      </w:pPr>
      <w:r>
        <w:t xml:space="preserve">•</w:t>
      </w:r>
      <w:r>
        <w:tab/>
      </w:r>
      <w:r>
        <w:t xml:space="preserve">Cuando esté hecha la copia de todas las direcciones, avisad a FG Digital y mandadnos la lista de buzones (sin las contraseñas).</w:t>
      </w: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 w:eastAsia="en-US" w:bidi="ar-SA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00"/>
    </w:pPr>
    <w:rPr>
      <w:b/>
      <w:color w:val="131116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before="320" w:after="120"/>
      <w:outlineLvl w:val="0"/>
    </w:pPr>
    <w:rPr>
      <w:b/>
      <w:color w:val="131116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444556"/>
      <w:sz w:val="24"/>
      <w:szCs w:val="24"/>
    </w:rPr>
  </w:style>
  <w:style w:type="paragraph" w:customStyle="1" w:styleId="Nota">
    <w:name w:val="Nota"/>
    <w:basedOn w:val="Normal"/>
    <w:qFormat/>
    <w:pPr>
      <w:pBdr>
        <w:left w:val="single" w:sz="18" w:space="8" w:color="FF311E"/>
      </w:pBdr>
      <w:shd w:val="clear" w:color="auto" w:fill="F3F3F5"/>
      <w:spacing w:before="80" w:after="160"/>
      <w:ind w:left="170" w:right="113"/>
    </w:pPr>
    <w:rPr>
      <w:color w:val="333340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