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Procedimientos de Red</w:t>
      </w:r>
    </w:p>
    <w:p>
      <w:pPr>
        <w:pStyle w:val="Heading1"/>
      </w:pPr>
      <w:r>
        <w:t>1. Descripción</w:t>
      </w:r>
    </w:p>
    <w:p>
      <w:r>
        <w:t>Este documento describe los procedimientos estándar para la gestión de la red corporativa del SGD. Incluye configuración de VLANs, acceso a equipos y políticas de seguridad.</w:t>
      </w:r>
    </w:p>
    <w:p>
      <w:pPr>
        <w:pStyle w:val="Heading1"/>
      </w:pPr>
      <w:r>
        <w:t>2. Configuración de VLANs</w:t>
      </w:r>
    </w:p>
    <w:p>
      <w:r>
        <w:t>Las VLANs se configuran en los switches core y de acceso siguiendo el esquema de direccionamiento IP definido en la documentación de red.</w:t>
      </w:r>
    </w:p>
    <w:p>
      <w:r>
        <w:rPr>
          <w:b/>
        </w:rPr>
        <w:t xml:space="preserve">VLAN 100: </w:t>
      </w:r>
      <w:r>
        <w:t>Gestión y administración de equipos de red.</w:t>
      </w:r>
    </w:p>
    <w:p>
      <w:r>
        <w:rPr>
          <w:b/>
        </w:rPr>
        <w:t xml:space="preserve">VLAN 200: </w:t>
      </w:r>
      <w:r>
        <w:t>VoIP y telefonía IP.</w:t>
      </w:r>
    </w:p>
    <w:p>
      <w:r>
        <w:rPr>
          <w:b/>
        </w:rPr>
        <w:t xml:space="preserve">VLAN 300: </w:t>
      </w:r>
      <w:r>
        <w:t>Datos de usuarios finales.</w:t>
      </w:r>
    </w:p>
    <w:p>
      <w:pPr>
        <w:pStyle w:val="Heading1"/>
      </w:pPr>
      <w:r>
        <w:t>3. Acceso a equipos</w:t>
      </w:r>
    </w:p>
    <w:p>
      <w:r>
        <w:t>El acceso a los equipos de red se realiza mediante SSH utilizando credenciales individuales. Se prohíbe el uso de cuentas compartidas.</w:t>
      </w:r>
    </w:p>
    <w:p>
      <w:pPr>
        <w:pStyle w:val="Heading1"/>
      </w:pPr>
      <w:r>
        <w:t>4. Políticas de seguridad</w:t>
      </w:r>
    </w:p>
    <w:p>
      <w:r>
        <w:t>Se debe aplicar el principio de menor privilegio. Los cambios en la configuración de red requieren aprobación previa y registro en el sistema de tickets.</w:t>
      </w:r>
    </w:p>
    <w:p>
      <w:pPr>
        <w:pStyle w:val="Heading1"/>
      </w:pPr>
      <w:r>
        <w:t>5. Referencias</w:t>
      </w:r>
    </w:p>
    <w:p>
      <w:r>
        <w:t>Consulte también los documentos relacionados: [[Políticas de Seguridad de la Información]] y [[Gestión de Identidades y Accesos]].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