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Meta title:</w:t>
      </w:r>
      <w:r>
        <w:t xml:space="preserve"> </w:t>
      </w:r>
      <w:r>
        <w:t xml:space="preserve">AI Search Visibility: Measure Beyond Clicks</w:t>
      </w:r>
    </w:p>
    <w:p>
      <w:pPr>
        <w:pStyle w:val="BodyText"/>
      </w:pPr>
      <w:r>
        <w:rPr>
          <w:bCs/>
          <w:b/>
        </w:rPr>
        <w:t xml:space="preserve">Meta description:</w:t>
      </w:r>
      <w:r>
        <w:t xml:space="preserve"> </w:t>
      </w:r>
      <w:r>
        <w:t xml:space="preserve">AI marketing teams can’t measure answer engines by clicks alone. Build an AI search visibility framework tied to branded demand and pipeline.</w:t>
      </w:r>
    </w:p>
    <w:p>
      <w:pPr>
        <w:pStyle w:val="BodyText"/>
      </w:pPr>
      <w:r>
        <w:rPr>
          <w:bCs/>
          <w:b/>
        </w:rPr>
        <w:t xml:space="preserve">URL slug:</w:t>
      </w:r>
      <w:r>
        <w:t xml:space="preserve"> </w:t>
      </w:r>
      <w:r>
        <w:t xml:space="preserve">/ai-marketing-search-visibility/</w:t>
      </w:r>
    </w:p>
    <w:p>
      <w:pPr>
        <w:pStyle w:val="BodyText"/>
      </w:pPr>
      <w:r>
        <w:rPr>
          <w:bCs/>
          <w:b/>
        </w:rPr>
        <w:t xml:space="preserve">Categories:</w:t>
      </w:r>
      <w:r>
        <w:t xml:space="preserve"> </w:t>
      </w:r>
      <w:r>
        <w:t xml:space="preserve">AI Marketing, Content Marketing</w:t>
      </w:r>
    </w:p>
    <w:p>
      <w:pPr>
        <w:pStyle w:val="BodyText"/>
      </w:pPr>
      <w:r>
        <w:rPr>
          <w:bCs/>
          <w:b/>
        </w:rPr>
        <w:t xml:space="preserve">Framework name options for reviewer:</w:t>
      </w:r>
      <w:r>
        <w:t xml:space="preserve"> </w:t>
      </w:r>
      <w:r>
        <w:t xml:space="preserve">the visibility stack (used in draft) / the answer layer / the beyond-the-click scorecard</w:t>
      </w:r>
    </w:p>
    <w:p>
      <w:pPr>
        <w:pStyle w:val="BodyText"/>
      </w:pPr>
      <w:r>
        <w:rPr>
          <w:iCs/>
          <w:i/>
        </w:rPr>
        <w:t xml:space="preserve">[Primary blog image placeholder (1860 x 930 px): dashboard with a flat referral line beside a busy answer layer]</w:t>
      </w:r>
    </w:p>
    <w:p>
      <w:r>
        <w:pict>
          <v:rect style="width:0;height:1.5pt" o:hralign="center" o:hrstd="t" o:hr="t"/>
        </w:pict>
      </w:r>
    </w:p>
    <w:bookmarkStart w:id="45" w:name="X10d19253fb8193571ba8ad2fbc08d1956608002"/>
    <w:p>
      <w:pPr>
        <w:pStyle w:val="Heading1"/>
      </w:pPr>
      <w:r>
        <w:t xml:space="preserve">Win the Search War: Measure AI Search Visibility</w:t>
      </w:r>
    </w:p>
    <w:p>
      <w:pPr>
        <w:pStyle w:val="FirstParagraph"/>
      </w:pPr>
      <w:r>
        <w:t xml:space="preserve">Your GA4 referral report shows almost nothing from AI tools. Your buyer’s shortlist is being shaped inside an LLM answer engine anyway. For anyone running AI marketing, clicks can’t tell you whether that gap is costing you the shortlist.</w:t>
      </w:r>
    </w:p>
    <w:p>
      <w:pPr>
        <w:pStyle w:val="BodyText"/>
      </w:pPr>
      <w:r>
        <w:t xml:space="preserve">The adoption data makes the stakes plain.</w:t>
      </w:r>
      <w:r>
        <w:t xml:space="preserve"> </w:t>
      </w:r>
      <w:hyperlink r:id="rId20">
        <w:r>
          <w:rPr>
            <w:rStyle w:val="Hyperlink"/>
          </w:rPr>
          <w:t xml:space="preserve">Ahrefs reports</w:t>
        </w:r>
      </w:hyperlink>
      <w:r>
        <w:t xml:space="preserve"> </w:t>
      </w:r>
      <w:r>
        <w:t xml:space="preserve">that 94% of business buyers use AI search, a figure it attributes to Forrester, and that 42% of consumers research products with it, per NielsenIQ. A buyer who forms a view inside an answer and later types your name into a browser leaves no referral behind.</w:t>
      </w:r>
    </w:p>
    <w:p>
      <w:pPr>
        <w:pStyle w:val="BodyText"/>
      </w:pPr>
      <w:r>
        <w:t xml:space="preserve">Treating clicks as the whole story is now a strategic error. A durable</w:t>
      </w:r>
      <w:r>
        <w:t xml:space="preserve"> </w:t>
      </w:r>
      <w:hyperlink r:id="rId21">
        <w:r>
          <w:rPr>
            <w:rStyle w:val="Hyperlink"/>
          </w:rPr>
          <w:t xml:space="preserve">AI marketing strategy</w:t>
        </w:r>
      </w:hyperlink>
      <w:r>
        <w:t xml:space="preserve"> </w:t>
      </w:r>
      <w:r>
        <w:t xml:space="preserve">needs a way to measure what happens before the click.</w:t>
      </w:r>
    </w:p>
    <w:bookmarkStart w:id="26" w:name="X930dac8dc04d1dc8f766a1849e2b87877ef69d3"/>
    <w:p>
      <w:pPr>
        <w:pStyle w:val="Heading2"/>
      </w:pPr>
      <w:r>
        <w:t xml:space="preserve">AI Search Visibility Starts Inside the Answer</w:t>
      </w:r>
    </w:p>
    <w:p>
      <w:pPr>
        <w:pStyle w:val="FirstParagraph"/>
      </w:pPr>
      <w:r>
        <w:t xml:space="preserve">Rankings and organic sessions remain good evidence of discoverability. They can’t account for influence that happens inside a generated answer, where a buyer reads a recommendation and never sees a results page.</w:t>
      </w:r>
    </w:p>
    <w:p>
      <w:pPr>
        <w:pStyle w:val="BodyText"/>
      </w:pPr>
      <w:r>
        <w:t xml:space="preserve">Measuring</w:t>
      </w:r>
      <w:r>
        <w:t xml:space="preserve"> </w:t>
      </w:r>
      <w:r>
        <w:rPr>
          <w:bCs/>
          <w:b/>
        </w:rPr>
        <w:t xml:space="preserve">AI search visibility</w:t>
      </w:r>
      <w:r>
        <w:t xml:space="preserve"> </w:t>
      </w:r>
      <w:r>
        <w:t xml:space="preserve">means tracking whether your priority pages, entities, product categories, and brand claims appear in responses to real buyer prompts, alongside your keyword rankings. It is the measurement side of</w:t>
      </w:r>
      <w:r>
        <w:t xml:space="preserve"> </w:t>
      </w:r>
      <w:hyperlink r:id="rId22">
        <w:r>
          <w:rPr>
            <w:rStyle w:val="Hyperlink"/>
          </w:rPr>
          <w:t xml:space="preserve">blending SEO and GEO</w:t>
        </w:r>
      </w:hyperlink>
      <w:r>
        <w:t xml:space="preserve">.</w:t>
      </w:r>
    </w:p>
    <w:bookmarkStart w:id="24" w:name="Xfa36b46576b06684cd1ede7102b80dde8074548"/>
    <w:p>
      <w:pPr>
        <w:pStyle w:val="Heading3"/>
      </w:pPr>
      <w:r>
        <w:t xml:space="preserve">Build a prompt set from real buyer questions</w:t>
      </w:r>
    </w:p>
    <w:p>
      <w:pPr>
        <w:pStyle w:val="FirstParagraph"/>
      </w:pPr>
      <w:r>
        <w:t xml:space="preserve">Cover four question types:</w:t>
      </w:r>
    </w:p>
    <w:p>
      <w:pPr>
        <w:numPr>
          <w:ilvl w:val="0"/>
          <w:numId w:val="1001"/>
        </w:numPr>
        <w:pStyle w:val="Compact"/>
      </w:pPr>
      <w:r>
        <w:t xml:space="preserve">Comparison</w:t>
      </w:r>
    </w:p>
    <w:p>
      <w:pPr>
        <w:numPr>
          <w:ilvl w:val="0"/>
          <w:numId w:val="1001"/>
        </w:numPr>
        <w:pStyle w:val="Compact"/>
      </w:pPr>
      <w:r>
        <w:t xml:space="preserve">Recommendation</w:t>
      </w:r>
    </w:p>
    <w:p>
      <w:pPr>
        <w:numPr>
          <w:ilvl w:val="0"/>
          <w:numId w:val="1001"/>
        </w:numPr>
        <w:pStyle w:val="Compact"/>
      </w:pPr>
      <w:r>
        <w:t xml:space="preserve">Problem-solving</w:t>
      </w:r>
    </w:p>
    <w:p>
      <w:pPr>
        <w:numPr>
          <w:ilvl w:val="0"/>
          <w:numId w:val="1001"/>
        </w:numPr>
        <w:pStyle w:val="Compact"/>
      </w:pPr>
      <w:r>
        <w:t xml:space="preserve">Implementation</w:t>
      </w:r>
    </w:p>
    <w:p>
      <w:pPr>
        <w:pStyle w:val="FirstParagraph"/>
      </w:pPr>
      <w:r>
        <w:t xml:space="preserve">Write prompts the way buyers ask them, with their industry, company size, and constraints included. Broad prompts tend to return the category’s best-known names, while specific ones show how you appear in the situations you actually sell into.</w:t>
      </w:r>
    </w:p>
    <w:p>
      <w:pPr>
        <w:pStyle w:val="BodyText"/>
      </w:pPr>
      <w:r>
        <w:t xml:space="preserve">Then run the same prompts on a schedule. Answers shift across engines and over time, so a single reading tells you little.</w:t>
      </w:r>
      <w:r>
        <w:t xml:space="preserve"> </w:t>
      </w:r>
      <w:hyperlink r:id="rId23">
        <w:r>
          <w:rPr>
            <w:rStyle w:val="Hyperlink"/>
          </w:rPr>
          <w:t xml:space="preserve">HubSpot’s guide to answer engine optimization (AEO)</w:t>
        </w:r>
      </w:hyperlink>
      <w:r>
        <w:t xml:space="preserve"> </w:t>
      </w:r>
      <w:r>
        <w:t xml:space="preserve">recommends watching tracked prompts over days or weeks before reading a trend. Treat the first month as calibration: you are learning how much answers move on their own before you credit any movement to your work.</w:t>
      </w:r>
    </w:p>
    <w:bookmarkEnd w:id="24"/>
    <w:bookmarkStart w:id="25" w:name="record-what-each-answer-says-about-you"/>
    <w:p>
      <w:pPr>
        <w:pStyle w:val="Heading3"/>
      </w:pPr>
      <w:r>
        <w:t xml:space="preserve">Record what each answer says about you</w:t>
      </w:r>
    </w:p>
    <w:p>
      <w:pPr>
        <w:pStyle w:val="FirstParagraph"/>
      </w:pPr>
      <w:r>
        <w:t xml:space="preserve">For every prompt, log:</w:t>
      </w:r>
    </w:p>
    <w:p>
      <w:pPr>
        <w:numPr>
          <w:ilvl w:val="0"/>
          <w:numId w:val="1002"/>
        </w:numPr>
        <w:pStyle w:val="Compact"/>
      </w:pPr>
      <w:r>
        <w:t xml:space="preserve">Brand mentions</w:t>
      </w:r>
    </w:p>
    <w:p>
      <w:pPr>
        <w:numPr>
          <w:ilvl w:val="0"/>
          <w:numId w:val="1002"/>
        </w:numPr>
        <w:pStyle w:val="Compact"/>
      </w:pPr>
      <w:r>
        <w:t xml:space="preserve">Competitor mentions</w:t>
      </w:r>
    </w:p>
    <w:p>
      <w:pPr>
        <w:numPr>
          <w:ilvl w:val="0"/>
          <w:numId w:val="1002"/>
        </w:numPr>
        <w:pStyle w:val="Compact"/>
      </w:pPr>
      <w:r>
        <w:t xml:space="preserve">Sentiment</w:t>
      </w:r>
    </w:p>
    <w:p>
      <w:pPr>
        <w:numPr>
          <w:ilvl w:val="0"/>
          <w:numId w:val="1002"/>
        </w:numPr>
        <w:pStyle w:val="Compact"/>
      </w:pPr>
      <w:r>
        <w:t xml:space="preserve">Cited domains</w:t>
      </w:r>
    </w:p>
    <w:p>
      <w:pPr>
        <w:numPr>
          <w:ilvl w:val="0"/>
          <w:numId w:val="1002"/>
        </w:numPr>
        <w:pStyle w:val="Compact"/>
      </w:pPr>
      <w:r>
        <w:t xml:space="preserve">Answer accuracy</w:t>
      </w:r>
    </w:p>
    <w:p>
      <w:pPr>
        <w:pStyle w:val="FirstParagraph"/>
      </w:pPr>
      <w:r>
        <w:t xml:space="preserve">Visibility without correct or favorable representation is a weak win. An answer that names you and misstates what you sell does more damage than one that leaves you out.</w:t>
      </w:r>
    </w:p>
    <w:bookmarkEnd w:id="25"/>
    <w:bookmarkEnd w:id="26"/>
    <w:bookmarkStart w:id="31" w:name="X934cf724bdab885d14c8e4768313f224f27153f"/>
    <w:p>
      <w:pPr>
        <w:pStyle w:val="Heading2"/>
      </w:pPr>
      <w:r>
        <w:t xml:space="preserve">Replace Click-Only Reporting With a Visibility Stack</w:t>
      </w:r>
    </w:p>
    <w:p>
      <w:pPr>
        <w:pStyle w:val="FirstParagraph"/>
      </w:pPr>
      <w:r>
        <w:t xml:space="preserve">An answer can shape consideration without producing a referral session, so the dashboard needs a second layer.</w:t>
      </w:r>
      <w:r>
        <w:t xml:space="preserve"> </w:t>
      </w:r>
      <w:hyperlink r:id="rId20">
        <w:r>
          <w:rPr>
            <w:rStyle w:val="Hyperlink"/>
          </w:rPr>
          <w:t xml:space="preserve">Ahrefs makes the case</w:t>
        </w:r>
      </w:hyperlink>
      <w:r>
        <w:t xml:space="preserve"> </w:t>
      </w:r>
      <w:r>
        <w:t xml:space="preserve">for measuring the influence conventional attribution misses, and HubSpot frames AEO as a companion to established SEO signals. Read together, they point to a visibility stack: the SEO metrics you trust on the bottom, an answer layer on top.</w:t>
      </w:r>
    </w:p>
    <w:bookmarkStart w:id="28" w:name="keep-the-core-dashboard"/>
    <w:p>
      <w:pPr>
        <w:pStyle w:val="Heading3"/>
      </w:pPr>
      <w:r>
        <w:t xml:space="preserve">Keep the core dashboard</w:t>
      </w:r>
    </w:p>
    <w:p>
      <w:pPr>
        <w:pStyle w:val="FirstParagraph"/>
      </w:pPr>
      <w:r>
        <w:t xml:space="preserve">Rankings, impressions, organic sessions, branded search, conversions, and assisted revenue still anchor the report. They also hold the referral traffic that does arrive, which you can isolate with</w:t>
      </w:r>
      <w:r>
        <w:t xml:space="preserve"> </w:t>
      </w:r>
      <w:hyperlink r:id="rId27">
        <w:r>
          <w:rPr>
            <w:rStyle w:val="Hyperlink"/>
          </w:rPr>
          <w:t xml:space="preserve">a dedicated AI Search channel in GA4</w:t>
        </w:r>
      </w:hyperlink>
      <w:r>
        <w:t xml:space="preserve">. The stack picks up where that channel goes blind. Dropping these metrics in favor of answer data would open a different gap, because mentions with no conversion data can’t show whether visibility paid off.</w:t>
      </w:r>
    </w:p>
    <w:bookmarkEnd w:id="28"/>
    <w:bookmarkStart w:id="29" w:name="add-the-answer-layer"/>
    <w:p>
      <w:pPr>
        <w:pStyle w:val="Heading3"/>
      </w:pPr>
      <w:r>
        <w:t xml:space="preserve">Add the answer layer</w:t>
      </w:r>
    </w:p>
    <w:p>
      <w:pPr>
        <w:pStyle w:val="FirstParagraph"/>
      </w:pPr>
      <w:r>
        <w:t xml:space="preserve">Track answer visibility, prompt coverage, share of voice, citation frequency, and sentiment. These tell you how often the brand appears in the answers that matter, who appears beside it, and whether the engines describe it fairly.</w:t>
      </w:r>
    </w:p>
    <w:bookmarkEnd w:id="29"/>
    <w:bookmarkStart w:id="30" w:name="weight-the-score-by-buying-intent"/>
    <w:p>
      <w:pPr>
        <w:pStyle w:val="Heading3"/>
      </w:pPr>
      <w:r>
        <w:t xml:space="preserve">Weight the score by buying intent</w:t>
      </w:r>
    </w:p>
    <w:p>
      <w:pPr>
        <w:pStyle w:val="FirstParagraph"/>
      </w:pPr>
      <w:r>
        <w:t xml:space="preserve">The visibility score is the percentage of tracked prompts that mention your brand, weighted by strategic importance. Strong presence on low-value questions should not outweigh weak presence on the prompts that define a purchase. Weighting is what turns AI search visibility from a vanity count into a number a CMO can defend in a pipeline review.</w:t>
      </w:r>
    </w:p>
    <w:p>
      <w:pPr>
        <w:pStyle w:val="BodyText"/>
      </w:pPr>
      <w:r>
        <w:t xml:space="preserve">Then compare the score against branded-search growth, direct traffic, demo or inquiry volume, and influenced pipeline, and look for relationships that hold over time. Add one more input: ask new customers how they found you, and include AI tools as an answer option. Ahrefs recommends this survey because it captures influence no analytics tag will.</w:t>
      </w:r>
    </w:p>
    <w:p>
      <w:pPr>
        <w:pStyle w:val="BodyText"/>
      </w:pPr>
      <w:r>
        <w:rPr>
          <w:iCs/>
          <w:i/>
        </w:rPr>
        <w:t xml:space="preserve">[Inline image placeholder (860 x 310 px): The visibility stack: core SEO metrics on one layer, answer visibility metrics on the second]</w:t>
      </w:r>
    </w:p>
    <w:bookmarkEnd w:id="30"/>
    <w:bookmarkEnd w:id="31"/>
    <w:bookmarkStart w:id="36" w:name="treat-citations-as-editorial-signals"/>
    <w:p>
      <w:pPr>
        <w:pStyle w:val="Heading2"/>
      </w:pPr>
      <w:r>
        <w:t xml:space="preserve">Treat Citations as Editorial Signals</w:t>
      </w:r>
    </w:p>
    <w:p>
      <w:pPr>
        <w:pStyle w:val="FirstParagraph"/>
      </w:pPr>
      <w:r>
        <w:t xml:space="preserve">AI search visibility is partly a content-quality problem and partly a reputation problem. Answer engines draw on a wide evidence network: owned content, reviews, news coverage, social material, and other trusted sources, as HubSpot’s guide describes. Your pages are one input among many.</w:t>
      </w:r>
    </w:p>
    <w:p>
      <w:pPr>
        <w:pStyle w:val="BodyText"/>
      </w:pPr>
      <w:r>
        <w:t xml:space="preserve">That makes the work editorial as much as technical. A citation is a third party’s judgment that a page is worth quoting, and those judgments follow clarity, evidence, and consistency.</w:t>
      </w:r>
    </w:p>
    <w:bookmarkStart w:id="33" w:name="X680200f6e03def3cabad6ccc7624c956bd217f0"/>
    <w:p>
      <w:pPr>
        <w:pStyle w:val="Heading3"/>
      </w:pPr>
      <w:r>
        <w:t xml:space="preserve">Audit the evidence behind category answers</w:t>
      </w:r>
    </w:p>
    <w:p>
      <w:pPr>
        <w:pStyle w:val="FirstParagraph"/>
      </w:pPr>
      <w:r>
        <w:t xml:space="preserve">Pull the domains and content types that appear in answers to your category prompts. Then identify what competitors have that you lack, whether that is a comparison page, a third-party review, or a cited study. A competitor that surfaces because analysts, reviewers, and customers describe it the same way has an evidence advantage no markup will close. Prioritize comparisons,</w:t>
      </w:r>
      <w:r>
        <w:t xml:space="preserve"> </w:t>
      </w:r>
      <w:hyperlink r:id="rId32">
        <w:r>
          <w:rPr>
            <w:rStyle w:val="Hyperlink"/>
          </w:rPr>
          <w:t xml:space="preserve">original research</w:t>
        </w:r>
      </w:hyperlink>
      <w:r>
        <w:t xml:space="preserve">, clear service explanations, expert commentary, and pages that resolve a specific buyer question.</w:t>
      </w:r>
    </w:p>
    <w:bookmarkEnd w:id="33"/>
    <w:bookmarkStart w:id="34" w:name="Xba126cbac1752699974e633438e53218e1407b7"/>
    <w:p>
      <w:pPr>
        <w:pStyle w:val="Heading3"/>
      </w:pPr>
      <w:r>
        <w:t xml:space="preserve">Write for extraction without flattening the story</w:t>
      </w:r>
    </w:p>
    <w:p>
      <w:pPr>
        <w:pStyle w:val="FirstParagraph"/>
      </w:pPr>
      <w:r>
        <w:t xml:space="preserve">Answer early. Define terms precisely, support claims, and use descriptive headings, lists, structured data, and consistent brand language. Correct factual gaps across your owned pages and external profiles. Inconsistent names and vague positioning produce answers that are visible and commercially damaging.</w:t>
      </w:r>
    </w:p>
    <w:bookmarkEnd w:id="34"/>
    <w:bookmarkStart w:id="35" w:name="X7d366f86b0c4a1d641c3a0f1818d8d43e22a6f8"/>
    <w:p>
      <w:pPr>
        <w:pStyle w:val="Heading3"/>
      </w:pPr>
      <w:r>
        <w:t xml:space="preserve">Give every strategic asset a citation role</w:t>
      </w:r>
    </w:p>
    <w:p>
      <w:pPr>
        <w:pStyle w:val="FirstParagraph"/>
      </w:pPr>
      <w:r>
        <w:t xml:space="preserve">Each asset should answer a meaningful question, hold a distinctive point of view, or supply evidence others can reference. AI can accelerate production, but speed should never cost you credibility. Subject matter experts supply the depth that makes a page worth citing, and technical buyers can tell when it is missing.</w:t>
      </w:r>
    </w:p>
    <w:bookmarkEnd w:id="35"/>
    <w:bookmarkEnd w:id="36"/>
    <w:bookmarkStart w:id="42" w:name="X8f7c7099ec351c1038df8d6a25e5cd283fb294b"/>
    <w:p>
      <w:pPr>
        <w:pStyle w:val="Heading2"/>
      </w:pPr>
      <w:r>
        <w:t xml:space="preserve">Make AI Marketing Attribution a Testable Discipline</w:t>
      </w:r>
    </w:p>
    <w:p>
      <w:pPr>
        <w:pStyle w:val="FirstParagraph"/>
      </w:pPr>
      <w:r>
        <w:t xml:space="preserve">Weak attribution calls for a repeatable testing system that admits its uncertainty. Referral traffic alone can badly understate AI influence.</w:t>
      </w:r>
      <w:r>
        <w:t xml:space="preserve"> </w:t>
      </w:r>
      <w:hyperlink r:id="rId37">
        <w:r>
          <w:rPr>
            <w:rStyle w:val="Hyperlink"/>
          </w:rPr>
          <w:t xml:space="preserve">Ahrefs found</w:t>
        </w:r>
      </w:hyperlink>
      <w:r>
        <w:t xml:space="preserve"> </w:t>
      </w:r>
      <w:r>
        <w:t xml:space="preserve">that 21.7% of its own signups were self-attributed to ChatGPT or Claude, second only to Google. AI contributed a meaningful share of signups without dominating the referral report.</w:t>
      </w:r>
    </w:p>
    <w:bookmarkStart w:id="38" w:name="set-a-monthly-baseline"/>
    <w:p>
      <w:pPr>
        <w:pStyle w:val="Heading3"/>
      </w:pPr>
      <w:r>
        <w:t xml:space="preserve">Set a monthly baseline</w:t>
      </w:r>
    </w:p>
    <w:p>
      <w:pPr>
        <w:pStyle w:val="FirstParagraph"/>
      </w:pPr>
      <w:r>
        <w:t xml:space="preserve">Record tracked prompts, brand mentions, citations, competitor share of voice, branded demand, qualified inquiries, and revenue-influenced opportunities. The baseline is what makes every later change interpretable.</w:t>
      </w:r>
    </w:p>
    <w:bookmarkEnd w:id="38"/>
    <w:bookmarkStart w:id="40" w:name="run-controlled-updates"/>
    <w:p>
      <w:pPr>
        <w:pStyle w:val="Heading3"/>
      </w:pPr>
      <w:r>
        <w:t xml:space="preserve">Run controlled updates</w:t>
      </w:r>
    </w:p>
    <w:p>
      <w:pPr>
        <w:pStyle w:val="FirstParagraph"/>
      </w:pPr>
      <w:r>
        <w:t xml:space="preserve">Improve one defined prompt cluster, hold a comparable cluster steady, and monitor both for several reporting cycles. When the improved cluster gains answer presence, compare later movement in branded search, direct visits, assisted conversions, sales conversations, and customer-reported discovery. Treat what you find as evidence of influence, not proof of causation. Because</w:t>
      </w:r>
      <w:r>
        <w:t xml:space="preserve"> </w:t>
      </w:r>
      <w:hyperlink r:id="rId39">
        <w:r>
          <w:rPr>
            <w:rStyle w:val="Hyperlink"/>
          </w:rPr>
          <w:t xml:space="preserve">citation authority compounds</w:t>
        </w:r>
      </w:hyperlink>
      <w:r>
        <w:t xml:space="preserve">, the gains will rarely show up cleanly in a 90-day attribution report, so judge the trend across cycles. Report AI search visibility to executives with that caveat attached.</w:t>
      </w:r>
    </w:p>
    <w:bookmarkEnd w:id="40"/>
    <w:bookmarkStart w:id="41" w:name="assign-owners"/>
    <w:p>
      <w:pPr>
        <w:pStyle w:val="Heading3"/>
      </w:pPr>
      <w:r>
        <w:t xml:space="preserve">Assign owners</w:t>
      </w:r>
    </w:p>
    <w:p>
      <w:pPr>
        <w:pStyle w:val="FirstParagraph"/>
      </w:pPr>
      <w:r>
        <w:t xml:space="preserve">Give someone prompt monitoring, someone citation review, someone content updates, and someone executive reporting. The work only survives if it lives inside the content workflow. A monthly readout to marketing leadership keeps the program funded long enough to produce a trend worth reading.</w:t>
      </w:r>
    </w:p>
    <w:p>
      <w:pPr>
        <w:pStyle w:val="BodyText"/>
      </w:pPr>
      <w:r>
        <w:rPr>
          <w:iCs/>
          <w:i/>
        </w:rPr>
        <w:t xml:space="preserve">[Inline image placeholder (860 x 310 px): The testing loop: baseline, improve one cluster, hold a comparable cluster, compare over several cycles]</w:t>
      </w:r>
    </w:p>
    <w:bookmarkEnd w:id="41"/>
    <w:bookmarkEnd w:id="42"/>
    <w:bookmarkStart w:id="44" w:name="win-the-answer-before-the-click"/>
    <w:p>
      <w:pPr>
        <w:pStyle w:val="Heading2"/>
      </w:pPr>
      <w:r>
        <w:t xml:space="preserve">Win the Answer Before the Click</w:t>
      </w:r>
    </w:p>
    <w:p>
      <w:pPr>
        <w:pStyle w:val="FirstParagraph"/>
      </w:pPr>
      <w:r>
        <w:t xml:space="preserve">This search war is decided by inclusion in the answer a buyer trusts before they visit a site or talk to sales. The question worth bringing to every quarterly review: did our brand become more present, more credible, and more likely to shape demand?</w:t>
      </w:r>
    </w:p>
    <w:p>
      <w:pPr>
        <w:pStyle w:val="BodyText"/>
      </w:pPr>
      <w:r>
        <w:t xml:space="preserve">The data will stay imperfect, and a disciplined AI marketing program says so. What it can do is show, quarter after quarter, whether the answers your buyers read are moving in your favor. If you want to build that discipline into how your team measures and earns answers,</w:t>
      </w:r>
      <w:r>
        <w:t xml:space="preserve"> </w:t>
      </w:r>
      <w:hyperlink r:id="rId43">
        <w:r>
          <w:rPr>
            <w:rStyle w:val="Hyperlink"/>
          </w:rPr>
          <w:t xml:space="preserve">Content Workshop’s AI Studio</w:t>
        </w:r>
      </w:hyperlink>
      <w:r>
        <w:t xml:space="preserve"> </w:t>
      </w:r>
      <w:r>
        <w:t xml:space="preserve">is where the framework becomes a working system.</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ahrefs.com/blog/ai-search-roi" TargetMode="External" /><Relationship Type="http://schemas.openxmlformats.org/officeDocument/2006/relationships/hyperlink" Id="rId37" Target="https://ahrefs.com/blog/how-to-measure-ai-search-visibility" TargetMode="External" /><Relationship Type="http://schemas.openxmlformats.org/officeDocument/2006/relationships/hyperlink" Id="rId23" Target="https://blog.hubspot.com/marketing/aeo-guide-for-seo" TargetMode="External" /><Relationship Type="http://schemas.openxmlformats.org/officeDocument/2006/relationships/hyperlink" Id="rId39" Target="https://contentworkshop.com/2026-marketing-playbooks/" TargetMode="External" /><Relationship Type="http://schemas.openxmlformats.org/officeDocument/2006/relationships/hyperlink" Id="rId27" Target="https://contentworkshop.com/ai-marketing-ga4/" TargetMode="External" /><Relationship Type="http://schemas.openxmlformats.org/officeDocument/2006/relationships/hyperlink" Id="rId22" Target="https://contentworkshop.com/generative-engine-optimization-seo-content-strategy/" TargetMode="External" /><Relationship Type="http://schemas.openxmlformats.org/officeDocument/2006/relationships/hyperlink" Id="rId21" Target="https://contentworkshop.com/mastering-ai-marketing-strategies/" TargetMode="External" /><Relationship Type="http://schemas.openxmlformats.org/officeDocument/2006/relationships/hyperlink" Id="rId32" Target="https://contentworkshop.com/original-research/" TargetMode="External" /><Relationship Type="http://schemas.openxmlformats.org/officeDocument/2006/relationships/hyperlink" Id="rId43" Target="https://contentworkshop.com/solutions/ai-marketing/" TargetMode="External" /></Relationships>
</file>

<file path=word/_rels/footnotes.xml.rels><?xml version="1.0" encoding="UTF-8"?><Relationships xmlns="http://schemas.openxmlformats.org/package/2006/relationships"><Relationship Type="http://schemas.openxmlformats.org/officeDocument/2006/relationships/hyperlink" Id="rId20" Target="https://ahrefs.com/blog/ai-search-roi" TargetMode="External" /><Relationship Type="http://schemas.openxmlformats.org/officeDocument/2006/relationships/hyperlink" Id="rId37" Target="https://ahrefs.com/blog/how-to-measure-ai-search-visibility" TargetMode="External" /><Relationship Type="http://schemas.openxmlformats.org/officeDocument/2006/relationships/hyperlink" Id="rId23" Target="https://blog.hubspot.com/marketing/aeo-guide-for-seo" TargetMode="External" /><Relationship Type="http://schemas.openxmlformats.org/officeDocument/2006/relationships/hyperlink" Id="rId39" Target="https://contentworkshop.com/2026-marketing-playbooks/" TargetMode="External" /><Relationship Type="http://schemas.openxmlformats.org/officeDocument/2006/relationships/hyperlink" Id="rId27" Target="https://contentworkshop.com/ai-marketing-ga4/" TargetMode="External" /><Relationship Type="http://schemas.openxmlformats.org/officeDocument/2006/relationships/hyperlink" Id="rId22" Target="https://contentworkshop.com/generative-engine-optimization-seo-content-strategy/" TargetMode="External" /><Relationship Type="http://schemas.openxmlformats.org/officeDocument/2006/relationships/hyperlink" Id="rId21" Target="https://contentworkshop.com/mastering-ai-marketing-strategies/" TargetMode="External" /><Relationship Type="http://schemas.openxmlformats.org/officeDocument/2006/relationships/hyperlink" Id="rId32" Target="https://contentworkshop.com/original-research/" TargetMode="External" /><Relationship Type="http://schemas.openxmlformats.org/officeDocument/2006/relationships/hyperlink" Id="rId43" Target="https://contentworkshop.com/solutions/ai-market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2026-10-13T13:48:28Z</dcterms:created>
  <dcterms:modified xsi:type="dcterms:W3CDTF">2026-10-13T13:48:28Z</dcterms:modified>
</cp:coreProperties>
</file>

<file path=docProps/custom.xml><?xml version="1.0" encoding="utf-8"?>
<Properties xmlns="http://schemas.openxmlformats.org/officeDocument/2006/custom-properties" xmlns:vt="http://schemas.openxmlformats.org/officeDocument/2006/docPropsVTypes"/>
</file>