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EA" w:rsidRPr="00606C53" w:rsidRDefault="000D56EA" w:rsidP="000D56EA">
      <w:pPr>
        <w:pStyle w:val="NormalWeb"/>
        <w:spacing w:line="480" w:lineRule="auto"/>
        <w:rPr>
          <w:b/>
        </w:rPr>
      </w:pPr>
      <w:r w:rsidRPr="00606C53">
        <w:rPr>
          <w:b/>
        </w:rPr>
        <w:t>Appendix 1. Advices based on the Dutch KNMP-</w:t>
      </w:r>
      <w:proofErr w:type="spellStart"/>
      <w:r w:rsidRPr="00606C53">
        <w:rPr>
          <w:b/>
        </w:rPr>
        <w:t>pharmacogenetic</w:t>
      </w:r>
      <w:proofErr w:type="spellEnd"/>
      <w:r w:rsidRPr="00606C53">
        <w:rPr>
          <w:b/>
        </w:rPr>
        <w:t xml:space="preserve"> guidelines, specified for this specific study purpose with the help of experts in the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111"/>
        <w:gridCol w:w="3598"/>
      </w:tblGrid>
      <w:tr w:rsidR="000D56EA" w:rsidRPr="00606C53" w:rsidTr="00F03FF1">
        <w:trPr>
          <w:trHeight w:val="753"/>
        </w:trPr>
        <w:tc>
          <w:tcPr>
            <w:tcW w:w="1384" w:type="dxa"/>
          </w:tcPr>
          <w:p w:rsidR="000D56EA" w:rsidRPr="00606C53" w:rsidRDefault="000D56EA" w:rsidP="00F03FF1">
            <w:pPr>
              <w:pStyle w:val="NormalWeb"/>
              <w:spacing w:line="480" w:lineRule="auto"/>
              <w:rPr>
                <w:i/>
              </w:rPr>
            </w:pPr>
            <w:r w:rsidRPr="00606C53">
              <w:rPr>
                <w:i/>
              </w:rPr>
              <w:t>Genotype</w:t>
            </w:r>
          </w:p>
        </w:tc>
        <w:tc>
          <w:tcPr>
            <w:tcW w:w="4111" w:type="dxa"/>
          </w:tcPr>
          <w:p w:rsidR="000D56EA" w:rsidRPr="00606C53" w:rsidRDefault="000D56EA" w:rsidP="00F03FF1">
            <w:pPr>
              <w:pStyle w:val="NormalWeb"/>
              <w:spacing w:line="480" w:lineRule="auto"/>
              <w:rPr>
                <w:i/>
              </w:rPr>
            </w:pPr>
            <w:r w:rsidRPr="00606C53">
              <w:rPr>
                <w:i/>
              </w:rPr>
              <w:t xml:space="preserve">Nortriptyline </w:t>
            </w:r>
          </w:p>
        </w:tc>
        <w:tc>
          <w:tcPr>
            <w:tcW w:w="3598" w:type="dxa"/>
          </w:tcPr>
          <w:p w:rsidR="000D56EA" w:rsidRPr="00606C53" w:rsidRDefault="000D56EA" w:rsidP="00F03FF1">
            <w:pPr>
              <w:pStyle w:val="NormalWeb"/>
              <w:spacing w:line="480" w:lineRule="auto"/>
              <w:rPr>
                <w:i/>
              </w:rPr>
            </w:pPr>
            <w:r w:rsidRPr="00606C53">
              <w:rPr>
                <w:i/>
              </w:rPr>
              <w:t>Venlafaxine</w:t>
            </w:r>
          </w:p>
          <w:p w:rsidR="000D56EA" w:rsidRPr="00606C53" w:rsidRDefault="000D56EA" w:rsidP="00F03FF1">
            <w:pPr>
              <w:pStyle w:val="NormalWeb"/>
              <w:spacing w:line="480" w:lineRule="auto"/>
              <w:rPr>
                <w:i/>
              </w:rPr>
            </w:pPr>
          </w:p>
        </w:tc>
      </w:tr>
      <w:tr w:rsidR="000D56EA" w:rsidRPr="00606C53" w:rsidTr="00F03FF1">
        <w:trPr>
          <w:trHeight w:val="6970"/>
        </w:trPr>
        <w:tc>
          <w:tcPr>
            <w:tcW w:w="1384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>PM/</w:t>
            </w:r>
            <w:r w:rsidRPr="00606C53">
              <w:br/>
              <w:t>intervention</w:t>
            </w:r>
            <w:r w:rsidRPr="00606C53">
              <w:br/>
              <w:t>group</w:t>
            </w:r>
          </w:p>
        </w:tc>
        <w:tc>
          <w:tcPr>
            <w:tcW w:w="4111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 xml:space="preserve">During genotyping a deviating genotype was found. This leads to classification of the patient as a Poor Metabolizer (PM). A PM has a lower capacity of the CYP2D6 enzyme which can cause an increase in nortriptyline plasma concentrations.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>Advice: give a 50% lower dosage with respect to normal dosing.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>Additional information:</w:t>
            </w:r>
            <w:r w:rsidRPr="00606C53">
              <w:br/>
              <w:t xml:space="preserve">For a PM dosing between 50 and 75 mg /day should give blood levels within the therapeutic window. However, differences between individuals can be significant. Dosing above 75 mg/day gives a substantial chance of blood levels exceeding the therapeutic </w:t>
            </w:r>
            <w:r w:rsidRPr="00606C53">
              <w:lastRenderedPageBreak/>
              <w:t>window. The half-live of the drug is extended. Keep in mind that it can take longer before a steady state period is reached (12-21 days, normal 7-8 days).</w:t>
            </w:r>
          </w:p>
        </w:tc>
        <w:tc>
          <w:tcPr>
            <w:tcW w:w="3598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lastRenderedPageBreak/>
              <w:t xml:space="preserve">During genotyping a deviating genotype was found. This leads to classification of the patient as a Poor Metabolizer (PM). A PM has a lower capacity of the CYP2D6 enzyme which can cause an increase in venlafaxine (V) plasma concentrations and a decrease of its active metabolite </w:t>
            </w:r>
            <w:r w:rsidRPr="00606C53">
              <w:rPr>
                <w:i/>
              </w:rPr>
              <w:t>o</w:t>
            </w:r>
            <w:r w:rsidRPr="00606C53">
              <w:t>-</w:t>
            </w:r>
            <w:proofErr w:type="spellStart"/>
            <w:r w:rsidRPr="00606C53">
              <w:t>desmethylvenlafaxine</w:t>
            </w:r>
            <w:proofErr w:type="spellEnd"/>
            <w:r w:rsidRPr="00606C53">
              <w:t xml:space="preserve"> (ODV). There is evidence suggesting a reduced efficacy among depressed patients with this genotype.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 xml:space="preserve">Advice: In case of response combined with adverse drug reactions: lower dosing to 75% of normal dosing. This should give a </w:t>
            </w:r>
            <w:r w:rsidRPr="00606C53">
              <w:lastRenderedPageBreak/>
              <w:t xml:space="preserve">sum of V+ODV equal to that of an extensive metabolizer (EM). However, differences between individuals are significant and the ratio V/ODV remains different from an EM. If dosing is further decreased it is unknown to which extend efficacy is maintained.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</w:p>
        </w:tc>
      </w:tr>
      <w:tr w:rsidR="000D56EA" w:rsidRPr="00606C53" w:rsidTr="00F03FF1">
        <w:trPr>
          <w:trHeight w:val="132"/>
        </w:trPr>
        <w:tc>
          <w:tcPr>
            <w:tcW w:w="1384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lastRenderedPageBreak/>
              <w:t>IM/</w:t>
            </w:r>
            <w:r w:rsidRPr="00606C53">
              <w:br/>
              <w:t>intervention</w:t>
            </w:r>
            <w:r w:rsidRPr="00606C53">
              <w:br/>
              <w:t>group</w:t>
            </w:r>
          </w:p>
        </w:tc>
        <w:tc>
          <w:tcPr>
            <w:tcW w:w="4111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 xml:space="preserve">During genotyping a deviating genotype was found. This leads to classification of the patient as an Intermediate Metabolizer (IM). An IM has a lower capacity of the CYP2D6 enzyme which can cause an increase in nortriptyline plasma concentrations.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>Advice: give a 75% lower dosage with respect to normal dosing.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lastRenderedPageBreak/>
              <w:t>Additional information:</w:t>
            </w:r>
            <w:r w:rsidRPr="00606C53">
              <w:br/>
              <w:t>For a IM dosing 75 mg /day should give blood levels within the therapeutic window. However, differences between individuals can be significant. Dosing above 75 mg/day should preferably be guided by TDM. The half-live of the drug is probably extended. Keep in mind that it can take longer before a steady state period is reached (9-21 days, normal 7-8 days).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</w:p>
        </w:tc>
        <w:tc>
          <w:tcPr>
            <w:tcW w:w="3598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lastRenderedPageBreak/>
              <w:t xml:space="preserve">During genotyping a deviating genotype was found. This leads to classification of the patient as an Intermediate Metabolizer (IM). An IM has a lower capacity of the CYP2D6 enzyme which can cause an increase in venlafaxine (V) plasma concentrations and a decrease of its active metabolite </w:t>
            </w:r>
            <w:r w:rsidRPr="00606C53">
              <w:rPr>
                <w:i/>
              </w:rPr>
              <w:t>O</w:t>
            </w:r>
            <w:r w:rsidRPr="00606C53">
              <w:t>-</w:t>
            </w:r>
            <w:proofErr w:type="spellStart"/>
            <w:r w:rsidRPr="00606C53">
              <w:t>desmethylvenlafaxine</w:t>
            </w:r>
            <w:proofErr w:type="spellEnd"/>
            <w:r w:rsidRPr="00606C53">
              <w:t xml:space="preserve"> (ODV). </w:t>
            </w:r>
            <w:r w:rsidRPr="00606C53">
              <w:lastRenderedPageBreak/>
              <w:t xml:space="preserve">Kinetic profiles show an increase in V+ODV concentration of 1-22%. There is insufficient evidence to give a dose adaptation based on literature. The advice is to control the sum of V + ODV by TDM and adapt dosing if indicated.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 xml:space="preserve">Although there is no dosing advice available, the patient remains in the trial. This is to collect more data concerning elderly and the IM genotype. </w:t>
            </w:r>
          </w:p>
        </w:tc>
      </w:tr>
      <w:tr w:rsidR="000D56EA" w:rsidRPr="00606C53" w:rsidTr="00F03FF1">
        <w:trPr>
          <w:trHeight w:val="132"/>
        </w:trPr>
        <w:tc>
          <w:tcPr>
            <w:tcW w:w="1384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lastRenderedPageBreak/>
              <w:t>UM/</w:t>
            </w:r>
            <w:r w:rsidRPr="00606C53">
              <w:br/>
              <w:t>intervention</w:t>
            </w:r>
            <w:r w:rsidRPr="00606C53">
              <w:br/>
              <w:t>group</w:t>
            </w:r>
          </w:p>
        </w:tc>
        <w:tc>
          <w:tcPr>
            <w:tcW w:w="4111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 xml:space="preserve">During genotyping a deviating genotype was found. This leads to classification of the patient as an </w:t>
            </w:r>
            <w:proofErr w:type="spellStart"/>
            <w:r w:rsidRPr="00606C53">
              <w:t>Ultrarapid</w:t>
            </w:r>
            <w:proofErr w:type="spellEnd"/>
            <w:r w:rsidRPr="00606C53">
              <w:t xml:space="preserve"> Metabolizer (UM). A UM has an increased capacity of the CYP2D6 enzyme which can cause a decreased nortriptyline plasma concentration and an increased plasma concentration of metabolites (E-10-OH-nortriptyline). 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lastRenderedPageBreak/>
              <w:t xml:space="preserve">Advice: Increase dosing to 150%. The metabolite of nortriptyline (OH-nortriptyline) might be </w:t>
            </w:r>
            <w:proofErr w:type="spellStart"/>
            <w:r w:rsidRPr="00606C53">
              <w:t>cardiotoxic</w:t>
            </w:r>
            <w:proofErr w:type="spellEnd"/>
            <w:r w:rsidRPr="00606C53">
              <w:t xml:space="preserve">. Be alert to changes in the EKG.  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>Additional information: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>For an UM dosing of 100 mg can give therapeutic concentrations. To reach adequate therapeutic levels dosing up to 300 mg/day can be necessary. However, differences between individuals are significant. The half-life of the drug is decreased. Keep in mind steady state is reached earlier (4-7 days, normal 7-8 days).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</w:p>
        </w:tc>
        <w:tc>
          <w:tcPr>
            <w:tcW w:w="3598" w:type="dxa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lastRenderedPageBreak/>
              <w:t xml:space="preserve">During genotyping a deviating genotype was found. This leads to classification of the patient as an </w:t>
            </w:r>
            <w:proofErr w:type="spellStart"/>
            <w:r w:rsidRPr="00606C53">
              <w:t>Ultrarapid</w:t>
            </w:r>
            <w:proofErr w:type="spellEnd"/>
            <w:r w:rsidRPr="00606C53">
              <w:t xml:space="preserve"> Metabolizer (UM). A UM has an increased capacity of the CYP2D6 enzyme which can cause a decreased venlafaxine plasma concentrations and an increased plasma concentration of </w:t>
            </w:r>
            <w:r w:rsidRPr="00606C53">
              <w:lastRenderedPageBreak/>
              <w:t xml:space="preserve">the active metabolite </w:t>
            </w:r>
            <w:r w:rsidRPr="00606C53">
              <w:rPr>
                <w:i/>
              </w:rPr>
              <w:t>O</w:t>
            </w:r>
            <w:r w:rsidRPr="00606C53">
              <w:t>-</w:t>
            </w:r>
            <w:proofErr w:type="spellStart"/>
            <w:r w:rsidRPr="00606C53">
              <w:t>desmethylvenlafaxine</w:t>
            </w:r>
            <w:proofErr w:type="spellEnd"/>
            <w:r w:rsidRPr="00606C53">
              <w:t xml:space="preserve">.  </w:t>
            </w:r>
          </w:p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 xml:space="preserve">Advice: Be alert to low sum plasma concentrations of V and ODV. If indicated by TDM increase dosing up to 150% of normal dosing. </w:t>
            </w:r>
          </w:p>
        </w:tc>
      </w:tr>
      <w:tr w:rsidR="000D56EA" w:rsidRPr="00606C53" w:rsidTr="00F03FF1">
        <w:trPr>
          <w:trHeight w:val="132"/>
        </w:trPr>
        <w:tc>
          <w:tcPr>
            <w:tcW w:w="1384" w:type="dxa"/>
          </w:tcPr>
          <w:p w:rsidR="000D56EA" w:rsidRPr="00606C53" w:rsidRDefault="000D56EA" w:rsidP="00F03FF1">
            <w:pPr>
              <w:pStyle w:val="NormalWeb"/>
              <w:spacing w:line="480" w:lineRule="auto"/>
              <w:rPr>
                <w:lang w:val="de-DE"/>
              </w:rPr>
            </w:pPr>
            <w:r w:rsidRPr="00606C53">
              <w:rPr>
                <w:lang w:val="de-DE"/>
              </w:rPr>
              <w:lastRenderedPageBreak/>
              <w:t>EM/PM/IM/UM/</w:t>
            </w:r>
            <w:r w:rsidRPr="00606C53">
              <w:rPr>
                <w:lang w:val="de-DE"/>
              </w:rPr>
              <w:br/>
            </w:r>
            <w:proofErr w:type="spellStart"/>
            <w:r w:rsidRPr="00606C53">
              <w:rPr>
                <w:lang w:val="de-DE"/>
              </w:rPr>
              <w:t>control</w:t>
            </w:r>
            <w:proofErr w:type="spellEnd"/>
            <w:r w:rsidRPr="00606C53">
              <w:rPr>
                <w:lang w:val="de-DE"/>
              </w:rPr>
              <w:t xml:space="preserve"> </w:t>
            </w:r>
            <w:proofErr w:type="spellStart"/>
            <w:r w:rsidRPr="00606C53">
              <w:rPr>
                <w:lang w:val="de-DE"/>
              </w:rPr>
              <w:t>group</w:t>
            </w:r>
            <w:proofErr w:type="spellEnd"/>
          </w:p>
        </w:tc>
        <w:tc>
          <w:tcPr>
            <w:tcW w:w="7709" w:type="dxa"/>
            <w:gridSpan w:val="2"/>
          </w:tcPr>
          <w:p w:rsidR="000D56EA" w:rsidRPr="00606C53" w:rsidRDefault="000D56EA" w:rsidP="00F03FF1">
            <w:pPr>
              <w:pStyle w:val="NormalWeb"/>
              <w:spacing w:line="480" w:lineRule="auto"/>
            </w:pPr>
            <w:r w:rsidRPr="00606C53">
              <w:t xml:space="preserve">The patient is not included in the intervention group. Therefore we ask you to continue care as usual. Knowing a patient is in the control group does not give you any information concerning the genotype of the patient, since patients with either a decreased, increased and normal metabolism are included in this group. </w:t>
            </w:r>
          </w:p>
        </w:tc>
      </w:tr>
    </w:tbl>
    <w:p w:rsidR="00234E55" w:rsidRDefault="000D56EA">
      <w:bookmarkStart w:id="0" w:name="_GoBack"/>
      <w:bookmarkEnd w:id="0"/>
    </w:p>
    <w:sectPr w:rsidR="00234E55" w:rsidSect="00AB2A06"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lnNumType w:countBy="1" w:restart="continuous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496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E5C" w:rsidRDefault="000D56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1E5C" w:rsidRDefault="000D56EA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E5C" w:rsidRDefault="000D56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6EA"/>
    <w:rsid w:val="0000378E"/>
    <w:rsid w:val="000038CE"/>
    <w:rsid w:val="00025ECB"/>
    <w:rsid w:val="000372D6"/>
    <w:rsid w:val="00066D37"/>
    <w:rsid w:val="000703B6"/>
    <w:rsid w:val="000C2535"/>
    <w:rsid w:val="000C29BC"/>
    <w:rsid w:val="000D56EA"/>
    <w:rsid w:val="00142257"/>
    <w:rsid w:val="00172F4A"/>
    <w:rsid w:val="001938C2"/>
    <w:rsid w:val="001B5A02"/>
    <w:rsid w:val="001E1C22"/>
    <w:rsid w:val="00227005"/>
    <w:rsid w:val="0025543C"/>
    <w:rsid w:val="0027623D"/>
    <w:rsid w:val="002C30F4"/>
    <w:rsid w:val="002C4617"/>
    <w:rsid w:val="00311D39"/>
    <w:rsid w:val="00312CD3"/>
    <w:rsid w:val="00324C02"/>
    <w:rsid w:val="00353018"/>
    <w:rsid w:val="00360972"/>
    <w:rsid w:val="00393C34"/>
    <w:rsid w:val="003A6384"/>
    <w:rsid w:val="003A741E"/>
    <w:rsid w:val="003C4CF6"/>
    <w:rsid w:val="003C6AF5"/>
    <w:rsid w:val="003E0C3B"/>
    <w:rsid w:val="003F7D70"/>
    <w:rsid w:val="00403771"/>
    <w:rsid w:val="004129E8"/>
    <w:rsid w:val="0041471E"/>
    <w:rsid w:val="00451405"/>
    <w:rsid w:val="0046021C"/>
    <w:rsid w:val="004A2E7E"/>
    <w:rsid w:val="004E417C"/>
    <w:rsid w:val="00501DCB"/>
    <w:rsid w:val="005226D0"/>
    <w:rsid w:val="00525AC1"/>
    <w:rsid w:val="005316CE"/>
    <w:rsid w:val="00531AF6"/>
    <w:rsid w:val="00580915"/>
    <w:rsid w:val="005D2AA8"/>
    <w:rsid w:val="005F464D"/>
    <w:rsid w:val="006148FD"/>
    <w:rsid w:val="006933A0"/>
    <w:rsid w:val="006A758F"/>
    <w:rsid w:val="006B2AA3"/>
    <w:rsid w:val="006D2FD3"/>
    <w:rsid w:val="006E143C"/>
    <w:rsid w:val="006F1620"/>
    <w:rsid w:val="006F25EF"/>
    <w:rsid w:val="00703D42"/>
    <w:rsid w:val="00717FB5"/>
    <w:rsid w:val="0075516F"/>
    <w:rsid w:val="007C35D6"/>
    <w:rsid w:val="007C4BFF"/>
    <w:rsid w:val="007E7FC8"/>
    <w:rsid w:val="007F099C"/>
    <w:rsid w:val="00834C13"/>
    <w:rsid w:val="00840FD8"/>
    <w:rsid w:val="00875DBA"/>
    <w:rsid w:val="00880056"/>
    <w:rsid w:val="008913C2"/>
    <w:rsid w:val="009024F9"/>
    <w:rsid w:val="009325F6"/>
    <w:rsid w:val="00954406"/>
    <w:rsid w:val="00956C04"/>
    <w:rsid w:val="0098397A"/>
    <w:rsid w:val="0099300D"/>
    <w:rsid w:val="009C0CAF"/>
    <w:rsid w:val="009D32B8"/>
    <w:rsid w:val="00A00DE1"/>
    <w:rsid w:val="00A10741"/>
    <w:rsid w:val="00A408E2"/>
    <w:rsid w:val="00A7728F"/>
    <w:rsid w:val="00A852E0"/>
    <w:rsid w:val="00AB0511"/>
    <w:rsid w:val="00AE0EA6"/>
    <w:rsid w:val="00AE6EF3"/>
    <w:rsid w:val="00B14B93"/>
    <w:rsid w:val="00B25312"/>
    <w:rsid w:val="00B45427"/>
    <w:rsid w:val="00B465D2"/>
    <w:rsid w:val="00B5498A"/>
    <w:rsid w:val="00B70CC5"/>
    <w:rsid w:val="00B732B4"/>
    <w:rsid w:val="00BA73CB"/>
    <w:rsid w:val="00BE1C1A"/>
    <w:rsid w:val="00C02184"/>
    <w:rsid w:val="00C13886"/>
    <w:rsid w:val="00C762CA"/>
    <w:rsid w:val="00C8501D"/>
    <w:rsid w:val="00C92F31"/>
    <w:rsid w:val="00CA49D8"/>
    <w:rsid w:val="00CC6061"/>
    <w:rsid w:val="00CF742D"/>
    <w:rsid w:val="00D37F63"/>
    <w:rsid w:val="00D57CDF"/>
    <w:rsid w:val="00D7697A"/>
    <w:rsid w:val="00D871D8"/>
    <w:rsid w:val="00D953D0"/>
    <w:rsid w:val="00DB035D"/>
    <w:rsid w:val="00DC1E92"/>
    <w:rsid w:val="00DE31CD"/>
    <w:rsid w:val="00E4099F"/>
    <w:rsid w:val="00E41B16"/>
    <w:rsid w:val="00E45051"/>
    <w:rsid w:val="00E544FF"/>
    <w:rsid w:val="00E8656F"/>
    <w:rsid w:val="00E9218E"/>
    <w:rsid w:val="00EB022E"/>
    <w:rsid w:val="00ED0D6C"/>
    <w:rsid w:val="00EE44C1"/>
    <w:rsid w:val="00EE55EE"/>
    <w:rsid w:val="00EE5B4C"/>
    <w:rsid w:val="00EE5BDB"/>
    <w:rsid w:val="00F064B7"/>
    <w:rsid w:val="00F3398A"/>
    <w:rsid w:val="00F45368"/>
    <w:rsid w:val="00F77F13"/>
    <w:rsid w:val="00F814D7"/>
    <w:rsid w:val="00F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56E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6E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D56EA"/>
  </w:style>
  <w:style w:type="paragraph" w:styleId="Footer">
    <w:name w:val="footer"/>
    <w:basedOn w:val="Normal"/>
    <w:link w:val="FooterChar"/>
    <w:uiPriority w:val="99"/>
    <w:unhideWhenUsed/>
    <w:rsid w:val="000D56E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D56EA"/>
  </w:style>
  <w:style w:type="table" w:styleId="TableGrid">
    <w:name w:val="Table Grid"/>
    <w:basedOn w:val="TableNormal"/>
    <w:uiPriority w:val="59"/>
    <w:rsid w:val="000D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0D5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6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56E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6E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D56EA"/>
  </w:style>
  <w:style w:type="paragraph" w:styleId="Footer">
    <w:name w:val="footer"/>
    <w:basedOn w:val="Normal"/>
    <w:link w:val="FooterChar"/>
    <w:uiPriority w:val="99"/>
    <w:unhideWhenUsed/>
    <w:rsid w:val="000D56E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D56EA"/>
  </w:style>
  <w:style w:type="table" w:styleId="TableGrid">
    <w:name w:val="Table Grid"/>
    <w:basedOn w:val="TableNormal"/>
    <w:uiPriority w:val="59"/>
    <w:rsid w:val="000D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0D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E.J.J. Berm</dc:creator>
  <cp:lastModifiedBy>E.J.J. Berm</cp:lastModifiedBy>
  <cp:revision>1</cp:revision>
  <dcterms:created xsi:type="dcterms:W3CDTF">2014-09-29T10:19:00Z</dcterms:created>
  <dcterms:modified xsi:type="dcterms:W3CDTF">2014-09-29T10:19:00Z</dcterms:modified>
</cp:coreProperties>
</file>