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open-technical-decisions-contentment.org"/>
    <w:p>
      <w:pPr>
        <w:pStyle w:val="Heading1"/>
      </w:pPr>
      <w:r>
        <w:t xml:space="preserve">Open Technical Decisions — contentment.org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— must be resolved before development starts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June 2026</w:t>
      </w:r>
      <w:r>
        <w:br/>
      </w:r>
      <w:r>
        <w:rPr>
          <w:b/>
          <w:bCs/>
        </w:rPr>
        <w:t xml:space="preserve">Owner:</w:t>
      </w:r>
      <w:r>
        <w:t xml:space="preserve"> </w:t>
      </w:r>
      <w:r>
        <w:t xml:space="preserve">Somesh Bhardwaj · Sr. System Admin, Full Stack AI Engineer</w:t>
      </w:r>
    </w:p>
    <w:p>
      <w:pPr>
        <w:pStyle w:val="FirstParagraph"/>
      </w:pPr>
      <w:r>
        <w:t xml:space="preserve">Each decision below is a blocker for at least one TICKET. The recommendation and its rationale are given. Record the decision date and chosen option when resolved.</w:t>
      </w:r>
    </w:p>
    <w:p>
      <w:r>
        <w:pict>
          <v:rect style="width:0;height:1.5pt" o:hralign="center" o:hrstd="t" o:hr="t"/>
        </w:pict>
      </w:r>
    </w:p>
    <w:bookmarkStart w:id="9" w:name="decision-001-primary-analytics-tool"/>
    <w:p>
      <w:pPr>
        <w:pStyle w:val="Heading2"/>
      </w:pPr>
      <w:r>
        <w:t xml:space="preserve">DECISION-001 — Primary analytics tool</w:t>
      </w:r>
    </w:p>
    <w:p>
      <w:pPr>
        <w:pStyle w:val="FirstParagraph"/>
      </w:pPr>
      <w:r>
        <w:rPr>
          <w:b/>
          <w:bCs/>
        </w:rPr>
        <w:t xml:space="preserve">Blocks:</w:t>
      </w:r>
      <w:r>
        <w:t xml:space="preserve"> </w:t>
      </w:r>
      <w:r>
        <w:t xml:space="preserve">TICKET-080, TICKET-071 (cookie consent wording in /privacy)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394"/>
        <w:gridCol w:w="40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Cookie banner needed?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Plausible only</w:t>
            </w:r>
            <w:r>
              <w:t xml:space="preserve"> </w:t>
            </w:r>
            <w:r>
              <w:t xml:space="preserve">(recommended)</w:t>
            </w:r>
          </w:p>
        </w:tc>
        <w:tc>
          <w:tcPr/>
          <w:p>
            <w:pPr>
              <w:pStyle w:val="Compact"/>
            </w:pPr>
            <w:r>
              <w:t xml:space="preserve">Privacy-first, GDPR compliant out of the box, &lt; 1 KB script, no cookie storage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Plausible + GA4</w:t>
            </w:r>
          </w:p>
        </w:tc>
        <w:tc>
          <w:tcPr/>
          <w:p>
            <w:pPr>
              <w:pStyle w:val="Compact"/>
            </w:pPr>
            <w:r>
              <w:t xml:space="preserve">Plausible as primary, GA4 only if paid Google Ads are running</w:t>
            </w:r>
          </w:p>
        </w:tc>
        <w:tc>
          <w:tcPr/>
          <w:p>
            <w:pPr>
              <w:pStyle w:val="Compact"/>
            </w:pPr>
            <w:r>
              <w:t xml:space="preserve">Yes — GA4 sets cookies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GA4 only</w:t>
            </w:r>
          </w:p>
        </w:tc>
        <w:tc>
          <w:tcPr/>
          <w:p>
            <w:pPr>
              <w:pStyle w:val="Compact"/>
            </w:pPr>
            <w:r>
              <w:t xml:space="preserve">Full Google stack; needed for advanced audiences and Google Ads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Plausible as primary. Add GA4 only if paid ad campaigns are confirmed for Festival 2026 or Homeroom launch. Avoids cookie banner complexity for Phase 1.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- [ ] Resolved — option chosen: _________________</w:t>
      </w:r>
      <w:r>
        <w:t xml:space="preserve"> </w:t>
      </w:r>
      <w:r>
        <w:t xml:space="preserve">- [ ] Date: _________________</w:t>
      </w:r>
    </w:p>
    <w:p>
      <w:r>
        <w:pict>
          <v:rect style="width:0;height:1.5pt" o:hralign="center" o:hrstd="t" o:hr="t"/>
        </w:pict>
      </w:r>
    </w:p>
    <w:bookmarkEnd w:id="9"/>
    <w:bookmarkStart w:id="10" w:name="decision-002-cookie-consent-mechanism"/>
    <w:p>
      <w:pPr>
        <w:pStyle w:val="Heading2"/>
      </w:pPr>
      <w:r>
        <w:t xml:space="preserve">DECISION-002 — Cookie consent mechanism</w:t>
      </w:r>
    </w:p>
    <w:p>
      <w:pPr>
        <w:pStyle w:val="FirstParagraph"/>
      </w:pPr>
      <w:r>
        <w:rPr>
          <w:b/>
          <w:bCs/>
        </w:rPr>
        <w:t xml:space="preserve">Blocks:</w:t>
      </w:r>
      <w:r>
        <w:t xml:space="preserve"> </w:t>
      </w:r>
      <w:r>
        <w:t xml:space="preserve">TICKET-071, TICKET-080</w:t>
      </w:r>
      <w:r>
        <w:br/>
      </w:r>
      <w:r>
        <w:rPr>
          <w:b/>
          <w:bCs/>
        </w:rPr>
        <w:t xml:space="preserve">Depends on:</w:t>
      </w:r>
      <w:r>
        <w:t xml:space="preserve"> </w:t>
      </w:r>
      <w:r>
        <w:t xml:space="preserve">DECISION-001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3226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Plausible only</w:t>
            </w:r>
          </w:p>
        </w:tc>
        <w:tc>
          <w:tcPr/>
          <w:p>
            <w:pPr>
              <w:pStyle w:val="Compact"/>
            </w:pPr>
            <w:r>
              <w:t xml:space="preserve">No — cookieless by default</w:t>
            </w:r>
          </w:p>
        </w:tc>
        <w:tc>
          <w:tcPr/>
          <w:p>
            <w:pPr>
              <w:pStyle w:val="Compact"/>
            </w:pPr>
            <w:r>
              <w:t xml:space="preserve">No banner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GA4 added</w:t>
            </w:r>
          </w:p>
        </w:tc>
        <w:tc>
          <w:tcPr/>
          <w:p>
            <w:pPr>
              <w:pStyle w:val="Compact"/>
            </w:pPr>
            <w:r>
              <w:t xml:space="preserve">Yes — GDPR, PECR (UK), ePrivacy (EU)</w:t>
            </w:r>
          </w:p>
        </w:tc>
        <w:tc>
          <w:tcPr/>
          <w:p>
            <w:pPr>
              <w:pStyle w:val="Compact"/>
            </w:pPr>
            <w:r>
              <w:t xml:space="preserve">Cookiebot, Osano, or custom</w:t>
            </w:r>
            <w:r>
              <w:t xml:space="preserve"> </w:t>
            </w:r>
            <w:r>
              <w:rPr>
                <w:rStyle w:val="VerbatimChar"/>
              </w:rPr>
              <w:t xml:space="preserve">&lt;dialog&gt;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Clarity</w:t>
            </w:r>
          </w:p>
        </w:tc>
        <w:tc>
          <w:tcPr/>
          <w:p>
            <w:pPr>
              <w:pStyle w:val="Compact"/>
            </w:pPr>
            <w:r>
              <w:t xml:space="preserve">No — Clarity uses session cookies but no personal data tracking by default</w:t>
            </w:r>
          </w:p>
        </w:tc>
        <w:tc>
          <w:tcPr/>
          <w:p>
            <w:pPr>
              <w:pStyle w:val="Compact"/>
            </w:pPr>
            <w:r>
              <w:t xml:space="preserve">Check jurisdiction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Resolve DECISION-001 first. If GA4 is added, use</w:t>
      </w:r>
      <w:r>
        <w:t xml:space="preserve"> </w:t>
      </w:r>
      <w:r>
        <w:rPr>
          <w:b/>
          <w:bCs/>
        </w:rPr>
        <w:t xml:space="preserve">Osano</w:t>
      </w:r>
      <w:r>
        <w:t xml:space="preserve"> </w:t>
      </w:r>
      <w:r>
        <w:t xml:space="preserve">(free tier, GDPR/CCPA, no external scripts needed). If Plausible only: no banner, update</w:t>
      </w:r>
      <w:r>
        <w:t xml:space="preserve"> </w:t>
      </w:r>
      <w:r>
        <w:rPr>
          <w:rStyle w:val="VerbatimChar"/>
        </w:rPr>
        <w:t xml:space="preserve">/privacy</w:t>
      </w:r>
      <w:r>
        <w:t xml:space="preserve"> </w:t>
      </w:r>
      <w:r>
        <w:t xml:space="preserve">to state cookieless analytics are in use.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- [ ] Resolved — option chosen: _________________</w:t>
      </w:r>
      <w:r>
        <w:t xml:space="preserve"> </w:t>
      </w:r>
      <w:r>
        <w:t xml:space="preserve">- [ ] Date: 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X481b41fbfeacf5fe563d9b7c270f6f777e04373"/>
    <w:p>
      <w:pPr>
        <w:pStyle w:val="Heading2"/>
      </w:pPr>
      <w:r>
        <w:t xml:space="preserve">DECISION-003 — Transactional email provider</w:t>
      </w:r>
    </w:p>
    <w:p>
      <w:pPr>
        <w:pStyle w:val="FirstParagraph"/>
      </w:pPr>
      <w:r>
        <w:rPr>
          <w:b/>
          <w:bCs/>
        </w:rPr>
        <w:t xml:space="preserve">Blocks:</w:t>
      </w:r>
      <w:r>
        <w:t xml:space="preserve"> </w:t>
      </w:r>
      <w:r>
        <w:t xml:space="preserve">TICKET-041 (school form notification to partnerships team), AUTOMATION-BRIEF steps 4 and 6</w:t>
      </w:r>
    </w:p>
    <w:p>
      <w:pPr>
        <w:pStyle w:val="BodyText"/>
      </w:pPr>
      <w:r>
        <w:t xml:space="preserve">Flodesk is a marketing automation tool — it handles sequences and campaigns. It is not designed for real-time transactional emails triggered by server events (e.g. </w:t>
      </w:r>
      <w:r>
        <w:t xml:space="preserve">“you have a new school inquiry”</w:t>
      </w:r>
      <w:r>
        <w:t xml:space="preserve"> </w:t>
      </w:r>
      <w:r>
        <w:t xml:space="preserve">to an internal email address). A separate transactional provider is needed for:</w:t>
      </w:r>
    </w:p>
    <w:p>
      <w:pPr>
        <w:pStyle w:val="Compact"/>
        <w:numPr>
          <w:ilvl w:val="0"/>
          <w:numId w:val="1001"/>
        </w:numPr>
      </w:pPr>
      <w:r>
        <w:t xml:space="preserve">Internal notification: partnerships team email on school form submit</w:t>
      </w:r>
    </w:p>
    <w:p>
      <w:pPr>
        <w:pStyle w:val="Compact"/>
        <w:numPr>
          <w:ilvl w:val="0"/>
          <w:numId w:val="1001"/>
        </w:numPr>
      </w:pPr>
      <w:r>
        <w:t xml:space="preserve">Zoom join link delivery when RSVP does not go through Flodesk</w:t>
      </w:r>
    </w:p>
    <w:p>
      <w:pPr>
        <w:pStyle w:val="Compact"/>
        <w:numPr>
          <w:ilvl w:val="0"/>
          <w:numId w:val="1001"/>
        </w:numPr>
      </w:pPr>
      <w:r>
        <w:t xml:space="preserve">Magic-link auth emails (Phase 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3630"/>
        <w:gridCol w:w="1320"/>
        <w:gridCol w:w="3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Free tier</w:t>
            </w:r>
          </w:p>
        </w:tc>
        <w:tc>
          <w:tcPr/>
          <w:p>
            <w:pPr>
              <w:pStyle w:val="Compact"/>
            </w:pPr>
            <w:r>
              <w:t xml:space="preserve">DX</w:t>
            </w:r>
          </w:p>
        </w:tc>
        <w:tc>
          <w:tcPr/>
          <w:p>
            <w:pPr>
              <w:pStyle w:val="Compact"/>
            </w:pPr>
            <w:r>
              <w:t xml:space="preserve">Vercel-native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Resend</w:t>
            </w:r>
            <w:r>
              <w:t xml:space="preserve"> </w:t>
            </w:r>
            <w:r>
              <w:t xml:space="preserve">(recommended)</w:t>
            </w:r>
          </w:p>
        </w:tc>
        <w:tc>
          <w:tcPr/>
          <w:p>
            <w:pPr>
              <w:pStyle w:val="Compact"/>
            </w:pPr>
            <w:r>
              <w:t xml:space="preserve">3,000 emails/month</w:t>
            </w:r>
          </w:p>
        </w:tc>
        <w:tc>
          <w:tcPr/>
          <w:p>
            <w:pPr>
              <w:pStyle w:val="Compact"/>
            </w:pPr>
            <w:r>
              <w:t xml:space="preserve">Excellent; single API call, typed SDK</w:t>
            </w:r>
          </w:p>
        </w:tc>
        <w:tc>
          <w:tcPr/>
          <w:p>
            <w:pPr>
              <w:pStyle w:val="Compact"/>
            </w:pPr>
            <w:r>
              <w:t xml:space="preserve">Yes — created for Vercel/Next.js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SES</w:t>
            </w:r>
          </w:p>
        </w:tc>
        <w:tc>
          <w:tcPr/>
          <w:p>
            <w:pPr>
              <w:pStyle w:val="Compact"/>
            </w:pPr>
            <w:r>
              <w:t xml:space="preserve">62,000/month (if from EC2)</w:t>
            </w:r>
          </w:p>
        </w:tc>
        <w:tc>
          <w:tcPr/>
          <w:p>
            <w:pPr>
              <w:pStyle w:val="Compact"/>
            </w:pPr>
            <w:r>
              <w:t xml:space="preserve">Low-level; requires domain verification</w:t>
            </w:r>
          </w:p>
        </w:tc>
        <w:tc>
          <w:tcPr/>
          <w:p>
            <w:pPr>
              <w:pStyle w:val="Compact"/>
            </w:pPr>
            <w:r>
              <w:t xml:space="preserve">No; but works via SDK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Nodemailer via Gmail API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Medium; OAuth required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SendGrid</w:t>
            </w:r>
          </w:p>
        </w:tc>
        <w:tc>
          <w:tcPr/>
          <w:p>
            <w:pPr>
              <w:pStyle w:val="Compact"/>
            </w:pPr>
            <w:r>
              <w:t xml:space="preserve">100/day free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install resend</w:t>
      </w:r>
      <w:r>
        <w:t xml:space="preserve">, one env var (</w:t>
      </w:r>
      <w:r>
        <w:rPr>
          <w:rStyle w:val="VerbatimChar"/>
        </w:rPr>
        <w:t xml:space="preserve">RESEND_API_KEY</w:t>
      </w:r>
      <w:r>
        <w:t xml:space="preserve">), sends email in 5 lines of TypeScript. Free tier covers TCF’s volume. Verified domain required (contentment.org).</w:t>
      </w:r>
    </w:p>
    <w:p>
      <w:pPr>
        <w:pStyle w:val="SourceCode"/>
      </w:pPr>
      <w:r>
        <w:rPr>
          <w:rStyle w:val="CommentTok"/>
        </w:rPr>
        <w:t xml:space="preserve">// Example — school inquiry notification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Resend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'resend'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RESEND_API_KEY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resend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'site@contentment.org'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'partnerships@contentment.org'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subject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`New school inquiry —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school_name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html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`&lt;p&gt;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contact_name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·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contact_email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·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country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&lt;/p&gt;`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Env var to add:</w:t>
      </w:r>
      <w:r>
        <w:t xml:space="preserve"> </w:t>
      </w:r>
      <w:r>
        <w:rPr>
          <w:rStyle w:val="VerbatimChar"/>
        </w:rPr>
        <w:t xml:space="preserve">RESEND_API_KEY</w:t>
      </w:r>
      <w:r>
        <w:t xml:space="preserve"> </w:t>
      </w:r>
      <w:r>
        <w:t xml:space="preserve">(server-only, Vercel env)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- [ ] Resolved — option chosen: _________________</w:t>
      </w:r>
      <w:r>
        <w:t xml:space="preserve"> </w:t>
      </w:r>
      <w:r>
        <w:t xml:space="preserve">- [ ] Date: 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Xf2cee39091bd41287262b8c09ab38edf305e2fe"/>
    <w:p>
      <w:pPr>
        <w:pStyle w:val="Heading2"/>
      </w:pPr>
      <w:r>
        <w:t xml:space="preserve">DECISION-004 — Rate limiting implementation</w:t>
      </w:r>
    </w:p>
    <w:p>
      <w:pPr>
        <w:pStyle w:val="FirstParagraph"/>
      </w:pPr>
      <w:r>
        <w:rPr>
          <w:b/>
          <w:bCs/>
        </w:rPr>
        <w:t xml:space="preserve">Blocks:</w:t>
      </w:r>
      <w:r>
        <w:t xml:space="preserve"> </w:t>
      </w:r>
      <w:r>
        <w:t xml:space="preserve">TICKET-070 (</w:t>
      </w:r>
      <w:r>
        <w:rPr>
          <w:rStyle w:val="VerbatimChar"/>
        </w:rPr>
        <w:t xml:space="preserve">/api/newsletter</w:t>
      </w:r>
      <w:r>
        <w:t xml:space="preserve">), TICKET-041 (</w:t>
      </w:r>
      <w:r>
        <w:rPr>
          <w:rStyle w:val="VerbatimChar"/>
        </w:rPr>
        <w:t xml:space="preserve">/api/school-inquiry</w:t>
      </w:r>
      <w:r>
        <w:t xml:space="preserve">), AUTOMATION-BRIEF</w:t>
      </w:r>
      <w:r>
        <w:t xml:space="preserve"> </w:t>
      </w:r>
      <w:r>
        <w:rPr>
          <w:rStyle w:val="VerbatimChar"/>
        </w:rPr>
        <w:t xml:space="preserve">/api/event-rsvp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/api/keela-webhook</w:t>
      </w:r>
    </w:p>
    <w:p>
      <w:pPr>
        <w:pStyle w:val="BodyText"/>
      </w:pPr>
      <w:r>
        <w:t xml:space="preserve">All docs specify</w:t>
      </w:r>
      <w:r>
        <w:t xml:space="preserve"> </w:t>
      </w:r>
      <w:r>
        <w:t xml:space="preserve">“5 requests / 15 min / IP”</w:t>
      </w:r>
      <w:r>
        <w:t xml:space="preserve"> </w:t>
      </w:r>
      <w:r>
        <w:t xml:space="preserve">but no implementation is named.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2"/>
        <w:gridCol w:w="2018"/>
        <w:gridCol w:w="2640"/>
        <w:gridCol w:w="20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Cold start safe?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@upstash/ratelimit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 Upstash Redis</w:t>
            </w:r>
            <w:r>
              <w:t xml:space="preserve"> </w:t>
            </w:r>
            <w:r>
              <w:t xml:space="preserve">(recommended)</w:t>
            </w:r>
          </w:p>
        </w:tc>
        <w:tc>
          <w:tcPr/>
          <w:p>
            <w:pPr>
              <w:pStyle w:val="Compact"/>
            </w:pPr>
            <w:r>
              <w:t xml:space="preserve">Redis — survives cold starts and multi-region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In-memory Map in Vercel fn</w:t>
            </w:r>
          </w:p>
        </w:tc>
        <w:tc>
          <w:tcPr/>
          <w:p>
            <w:pPr>
              <w:pStyle w:val="Compact"/>
            </w:pPr>
            <w:r>
              <w:t xml:space="preserve">Memory only — resets every cold 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built-in (WAF)</w:t>
            </w:r>
          </w:p>
        </w:tc>
        <w:tc>
          <w:tcPr/>
          <w:p>
            <w:pPr>
              <w:pStyle w:val="Compact"/>
            </w:pPr>
            <w:r>
              <w:t xml:space="preserve">Infrastructure level — no per-route config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Supplementary only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rStyle w:val="VerbatimChar"/>
        </w:rPr>
        <w:t xml:space="preserve">@upstash/ratelimit</w:t>
      </w:r>
      <w:r>
        <w:t xml:space="preserve"> </w:t>
      </w:r>
      <w:r>
        <w:t xml:space="preserve">with Upstash Redis free tier (10,000 requests/day). Standard pattern for Vercel serverless functions.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Ratelimit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'@upstash/ratelimit'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Redis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'@upstash/redis'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ratelimit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Ratelimit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redis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fromEnv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limiter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Ratelimit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slidingWindow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'15 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analytics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 handler: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'x-forwarded-for'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'127.0.0.1'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success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ratelimit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limit</w:t>
      </w:r>
      <w:r>
        <w:rPr>
          <w:rStyle w:val="NormalTok"/>
        </w:rPr>
        <w:t xml:space="preserve">(ip)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success)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Response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'Too many requests'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Env vars to add:</w:t>
      </w:r>
    </w:p>
    <w:p>
      <w:pPr>
        <w:pStyle w:val="SourceCode"/>
      </w:pPr>
      <w:r>
        <w:rPr>
          <w:rStyle w:val="VariableTok"/>
        </w:rPr>
        <w:t xml:space="preserve">UPSTASH_REDIS_REST_URL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from Upstash dashboard</w:t>
      </w:r>
      <w:r>
        <w:br/>
      </w:r>
      <w:r>
        <w:rPr>
          <w:rStyle w:val="VariableTok"/>
        </w:rPr>
        <w:t xml:space="preserve">UPSTASH_REDIS_REST_TOKEN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from Upstash dashboard (server-only)</w:t>
      </w:r>
    </w:p>
    <w:p>
      <w:pPr>
        <w:pStyle w:val="FirstParagraph"/>
      </w:pPr>
      <w:r>
        <w:rPr>
          <w:b/>
          <w:bCs/>
        </w:rPr>
        <w:t xml:space="preserve">Decision:</w:t>
      </w:r>
      <w:r>
        <w:t xml:space="preserve"> </w:t>
      </w:r>
      <w:r>
        <w:t xml:space="preserve">- [ ] Resolved — option chosen: _________________</w:t>
      </w:r>
      <w:r>
        <w:t xml:space="preserve"> </w:t>
      </w:r>
      <w:r>
        <w:t xml:space="preserve">- [ ] Date: 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decision-005-image-optimization-approach"/>
    <w:p>
      <w:pPr>
        <w:pStyle w:val="Heading2"/>
      </w:pPr>
      <w:r>
        <w:t xml:space="preserve">DECISION-005 — Image optimization approach</w:t>
      </w:r>
    </w:p>
    <w:p>
      <w:pPr>
        <w:pStyle w:val="FirstParagraph"/>
      </w:pPr>
      <w:r>
        <w:rPr>
          <w:b/>
          <w:bCs/>
        </w:rPr>
        <w:t xml:space="preserve">Blocks:</w:t>
      </w:r>
      <w:r>
        <w:t xml:space="preserve"> </w:t>
      </w:r>
      <w:r>
        <w:t xml:space="preserve">TICKET-010 (homepage migration), TICKET-020 (/why), TICKET-031 (/stories)</w:t>
      </w:r>
      <w:r>
        <w:br/>
      </w:r>
      <w:r>
        <w:rPr>
          <w:b/>
          <w:bCs/>
        </w:rPr>
        <w:t xml:space="preserve">Affects:</w:t>
      </w:r>
      <w:r>
        <w:t xml:space="preserve"> </w:t>
      </w:r>
      <w:r>
        <w:t xml:space="preserve">LCP &lt; 2.5s 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Astro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&lt;Image /&gt;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 </w:t>
            </w:r>
            <w:r>
              <w:t xml:space="preserve">(recommended)</w:t>
            </w:r>
          </w:p>
        </w:tc>
        <w:tc>
          <w:tcPr/>
          <w:p>
            <w:pPr>
              <w:pStyle w:val="Compact"/>
            </w:pPr>
            <w:r>
              <w:t xml:space="preserve">Low — drop-in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&lt;img&gt;</w:t>
            </w:r>
          </w:p>
        </w:tc>
        <w:tc>
          <w:tcPr/>
          <w:p>
            <w:pPr>
              <w:pStyle w:val="Compact"/>
            </w:pPr>
            <w:r>
              <w:t xml:space="preserve">Auto WebP + srcset + lazy + width/height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pre-conversion to WebP</w:t>
            </w:r>
          </w:p>
        </w:tc>
        <w:tc>
          <w:tcPr/>
          <w:p>
            <w:pPr>
              <w:pStyle w:val="Compact"/>
            </w:pPr>
            <w:r>
              <w:t xml:space="preserve">Medium — tooling required</w:t>
            </w:r>
          </w:p>
        </w:tc>
        <w:tc>
          <w:tcPr/>
          <w:p>
            <w:pPr>
              <w:pStyle w:val="Compact"/>
            </w:pPr>
            <w:r>
              <w:t xml:space="preserve">Static WebP, no responsive srcset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image optimization (</w:t>
            </w:r>
            <w:r>
              <w:rPr>
                <w:rStyle w:val="VerbatimChar"/>
              </w:rPr>
              <w:t xml:space="preserve">/_vercel/image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Zero code change</w:t>
            </w:r>
          </w:p>
        </w:tc>
        <w:tc>
          <w:tcPr/>
          <w:p>
            <w:pPr>
              <w:pStyle w:val="Compact"/>
            </w:pPr>
            <w:r>
              <w:t xml:space="preserve">On-demand transform, adds latency on first load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Use Astro’s built-in</w:t>
      </w:r>
      <w:r>
        <w:t xml:space="preserve"> </w:t>
      </w:r>
      <w:r>
        <w:rPr>
          <w:rStyle w:val="VerbatimChar"/>
        </w:rPr>
        <w:t xml:space="preserve">&lt;Image /&gt;</w:t>
      </w:r>
      <w:r>
        <w:t xml:space="preserve"> </w:t>
      </w:r>
      <w:r>
        <w:t xml:space="preserve">component from</w:t>
      </w:r>
      <w:r>
        <w:t xml:space="preserve"> </w:t>
      </w:r>
      <w:r>
        <w:rPr>
          <w:rStyle w:val="VerbatimChar"/>
        </w:rPr>
        <w:t xml:space="preserve">astro:assets</w:t>
      </w:r>
      <w:r>
        <w:t xml:space="preserve">. Requires</w:t>
      </w:r>
      <w:r>
        <w:t xml:space="preserve"> </w:t>
      </w:r>
      <w:r>
        <w:rPr>
          <w:rStyle w:val="VerbatimChar"/>
        </w:rPr>
        <w:t xml:space="preserve">@astrojs/vercel</w:t>
      </w:r>
      <w:r>
        <w:t xml:space="preserve"> </w:t>
      </w:r>
      <w:r>
        <w:t xml:space="preserve">adapter and Sharp integration in</w:t>
      </w:r>
      <w:r>
        <w:t xml:space="preserve"> </w:t>
      </w:r>
      <w:r>
        <w:rPr>
          <w:rStyle w:val="VerbatimChar"/>
        </w:rPr>
        <w:t xml:space="preserve">astro.config.mjs</w:t>
      </w:r>
      <w:r>
        <w:t xml:space="preserve">. All hero images, educator photos, and OG images go through this at build time.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- [ ] Resolved — option chosen: _________________</w:t>
      </w:r>
      <w:r>
        <w:t xml:space="preserve"> </w:t>
      </w:r>
      <w:r>
        <w:t xml:space="preserve">- [ ] Date: 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Xa514edd0691a61a6cc1bb8e880514114051395c"/>
    <w:p>
      <w:pPr>
        <w:pStyle w:val="Heading2"/>
      </w:pPr>
      <w:r>
        <w:t xml:space="preserve">DECISION-006 — Error monitoring (Sentry or skip)</w:t>
      </w:r>
    </w:p>
    <w:p>
      <w:pPr>
        <w:pStyle w:val="FirstParagraph"/>
      </w:pPr>
      <w:r>
        <w:rPr>
          <w:b/>
          <w:bCs/>
        </w:rPr>
        <w:t xml:space="preserve">Blocks:</w:t>
      </w:r>
      <w:r>
        <w:t xml:space="preserve"> </w:t>
      </w:r>
      <w:r>
        <w:t xml:space="preserve">Observability (TECHNICAL-ARCHITECTURE.md §9)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Low for Phase 1; Medium for Phase 1.5 when custom APIs are live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When to add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 Phase 1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If Slack #errors alerts are sufficient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Sentry</w:t>
            </w:r>
          </w:p>
        </w:tc>
        <w:tc>
          <w:tcPr/>
          <w:p>
            <w:pPr>
              <w:pStyle w:val="Compact"/>
            </w:pPr>
            <w:r>
              <w:t xml:space="preserve">Free tier (5,000 errors/month)</w:t>
            </w:r>
          </w:p>
        </w:tc>
        <w:tc>
          <w:tcPr/>
          <w:p>
            <w:pPr>
              <w:pStyle w:val="Compact"/>
            </w:pPr>
            <w:r>
              <w:t xml:space="preserve">Add at Phase 1.5 when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routes are handling real traffic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function logs only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Sufficient if team is watching logs actively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Skip for Phase 1. Add Sentry at Phase 1.5. When added:</w:t>
      </w:r>
      <w:r>
        <w:t xml:space="preserve"> </w:t>
      </w:r>
      <w:r>
        <w:rPr>
          <w:rStyle w:val="VerbatimChar"/>
        </w:rPr>
        <w:t xml:space="preserve">SENTRY_DSN</w:t>
      </w:r>
      <w:r>
        <w:t xml:space="preserve"> </w:t>
      </w:r>
      <w:r>
        <w:t xml:space="preserve">env var,</w:t>
      </w:r>
      <w:r>
        <w:t xml:space="preserve"> </w:t>
      </w:r>
      <w:r>
        <w:rPr>
          <w:rStyle w:val="VerbatimChar"/>
        </w:rPr>
        <w:t xml:space="preserve">@sentry/astro</w:t>
      </w:r>
      <w:r>
        <w:t xml:space="preserve"> </w:t>
      </w:r>
      <w:r>
        <w:t xml:space="preserve">integration.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- [ ] Resolved — option chosen: _________________</w:t>
      </w:r>
      <w:r>
        <w:t xml:space="preserve"> </w:t>
      </w:r>
      <w:r>
        <w:t xml:space="preserve">- [ ] Date: 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decision-log"/>
    <w:p>
      <w:pPr>
        <w:pStyle w:val="Heading2"/>
      </w:pPr>
      <w:r>
        <w:t xml:space="preserve">Decision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Chosen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</w:t>
            </w:r>
          </w:p>
        </w:tc>
        <w:tc>
          <w:tcPr/>
          <w:p>
            <w:pPr>
              <w:pStyle w:val="Compact"/>
            </w:pPr>
            <w:r>
              <w:t xml:space="preserve">Primary analytics tool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Cookie consent mechanism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</w:t>
            </w:r>
          </w:p>
        </w:tc>
        <w:tc>
          <w:tcPr/>
          <w:p>
            <w:pPr>
              <w:pStyle w:val="Compact"/>
            </w:pPr>
            <w:r>
              <w:t xml:space="preserve">Transactional email provider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004</w:t>
            </w:r>
          </w:p>
        </w:tc>
        <w:tc>
          <w:tcPr/>
          <w:p>
            <w:pPr>
              <w:pStyle w:val="Compact"/>
            </w:pPr>
            <w:r>
              <w:t xml:space="preserve">Rate limiting implementation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005</w:t>
            </w:r>
          </w:p>
        </w:tc>
        <w:tc>
          <w:tcPr/>
          <w:p>
            <w:pPr>
              <w:pStyle w:val="Compact"/>
            </w:pPr>
            <w:r>
              <w:t xml:space="preserve">Image optimization approach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006</w:t>
            </w:r>
          </w:p>
        </w:tc>
        <w:tc>
          <w:tcPr/>
          <w:p>
            <w:pPr>
              <w:pStyle w:val="Compac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2026-06-23T02:35:19Z</dcterms:created>
  <dcterms:modified xsi:type="dcterms:W3CDTF">2026-06-23T02:35:19Z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