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/>
        <w:pBdr>
          <w:bottom w:val="single" w:sz="16" w:space="4" w:color="1FAFC0"/>
        </w:pBdr>
        <w:shd w:val="clear" w:color="auto" w:fill="FFFFFF"/>
      </w:pPr>
      <w:r>
        <w:t/>
      </w:r>
    </w:p>
    <w:p>
      <w:pPr>
        <w:spacing w:before="40" w:after="280"/>
        <w:shd w:val="clear" w:color="auto" w:fill="FFFFFF"/>
      </w:pPr>
      <w:r>
        <w:rPr>
          <w:rFonts w:ascii="Calibri" w:hAnsi="Calibri"/>
          <w:sz w:val="18"/>
          <w:szCs w:val="18"/>
          <w:color w:val="1FAFC0"/>
          <w:i/>
        </w:rPr>
        <w:t xml:space="preserve">The Contentment Foundation · contentment.org</w:t>
      </w:r>
    </w:p>
    <w:p>
      <w:pPr>
        <w:spacing w:before="40" w:after="80"/>
        <w:shd w:val="clear" w:color="auto" w:fill="FFFFFF"/>
      </w:pPr>
      <w:r>
        <w:rPr>
          <w:rFonts w:ascii="Calibri" w:hAnsi="Calibri"/>
          <w:sz w:val="18"/>
          <w:szCs w:val="18"/>
          <w:color w:val="3C3B43"/>
        </w:rPr>
        <w:t xml:space="preserve">Prepared by: Somesh Bhardwaj · Sr. System Admin, Full Stack AI Engineer</w:t>
      </w:r>
    </w:p>
    <w:p>
      <w:pPr>
        <w:spacing w:before="40" w:after="80"/>
        <w:shd w:val="clear" w:color="auto" w:fill="FFFFFF"/>
      </w:pPr>
      <w:r>
        <w:rPr>
          <w:rFonts w:ascii="Calibri" w:hAnsi="Calibri"/>
          <w:sz w:val="22"/>
          <w:szCs w:val="22"/>
          <w:color w:val="0080B0"/>
          <w:i/>
        </w:rPr>
        <w:t xml:space="preserve">Q2 2026 · Post-Development · Marketing &amp; Growth Team</w:t>
      </w:r>
    </w:p>
    <w:p>
      <w:pPr>
        <w:spacing w:before="320" w:after="80"/>
        <w:shd w:val="clear" w:color="auto" w:fill="FFFFFF"/>
      </w:pPr>
      <w:r>
        <w:rPr>
          <w:rFonts w:ascii="Calibri" w:hAnsi="Calibri"/>
          <w:sz w:val="44"/>
          <w:szCs w:val="44"/>
          <w:color w:val="024E70"/>
          <w:b/>
        </w:rPr>
        <w:t xml:space="preserve">Growth, SEO &amp; Analytics Brief</w:t>
      </w:r>
    </w:p>
    <w:p>
      <w:pPr>
        <w:spacing w:before="0" w:after="0"/>
        <w:shd w:val="clear" w:color="auto" w:fill="FFFFFF"/>
      </w:pPr>
      <w:r>
        <w:rPr>
          <w:rFonts w:ascii="Calibri" w:hAnsi="Calibri"/>
          <w:sz w:val="12"/>
          <w:szCs w:val="12"/>
          <w:color w:val="3C3B43"/>
        </w:rPr>
        <w:t xml:space="preserve"/>
      </w:r>
    </w:p>
    <w:bookmarkStart w:id="51" w:name="X0d2c38fa6491041c179c360c20a026be288cd81"/>
    <w:p>
      <w:pPr>
        <w:pStyle w:val="Heading1"/>
      </w:pPr>
      <w:r>
        <w:t xml:space="preserve">contentment.org — Growth, SEO &amp; Analytics Brief</w:t>
      </w:r>
    </w:p>
    <w:p>
      <w:pPr>
        <w:pStyle w:val="BlockText"/>
        <w:spacing w:before="80" w:after="80"/>
        <w:ind w:left="454" w:right="454"/>
      </w:pPr>
      <w:r>
        <w:rPr>
          <w:i/>
          <w:color w:val="0080B0"/>
        </w:rPr>
        <w:t xml:space="preserve">Q2 2026 · Post-Development · Marketing, Content &amp; Growth Team</w:t>
      </w:r>
      <w:r>
        <w:rPr>
          <w:i/>
          <w:color w:val="0080B0"/>
        </w:rPr>
        <w:br/>
      </w:r>
      <w:r>
        <w:rPr>
          <w:i/>
          <w:color w:val="0080B0"/>
        </w:rPr>
        <w:t xml:space="preserve">Prepared by</w:t>
      </w:r>
      <w:r>
        <w:rPr>
          <w:i/>
          <w:color w:val="0080B0"/>
        </w:rPr>
        <w:t xml:space="preserve"> </w:t>
      </w:r>
      <w:r>
        <w:rPr>
          <w:b/>
          <w:bCs/>
          <w:i/>
          <w:color w:val="0080B0"/>
        </w:rPr>
        <w:t xml:space="preserve">Somesh Bhardwaj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· somesh@contentment.org · Sr. System Admin, Full Stack AI Engineer · The Contentment Foundation</w:t>
      </w:r>
    </w:p>
    <w:p>
      <w:r>
        <w:pict>
          <v:rect style="width:0;height:1.5pt" o:hralign="center" o:hrstd="t" o:hr="t"/>
        </w:pict>
      </w:r>
    </w:p>
    <w:bookmarkStart w:id="15" w:name="analytics-setup"/>
    <w:p>
      <w:pPr>
        <w:pStyle w:val="Heading2"/>
      </w:pPr>
      <w:r>
        <w:t xml:space="preserve">1. Analytics Setup</w:t>
      </w:r>
    </w:p>
    <w:bookmarkStart w:id="9" w:name="confirmed-analytics-stack"/>
    <w:p>
      <w:pPr>
        <w:pStyle w:val="Heading3"/>
      </w:pPr>
      <w:r>
        <w:t xml:space="preserve">Confirmed analytics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Tool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Purpose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Why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Plausible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Primary traffic + events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Privacy-first; no cookie banner required in most jurisdictions; lightweight (&lt; 1 KB script); GDPR compliant out of the box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GA4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Campaign attribution, funnels, audience insights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Required if running Google Ads or needing advanced audience segments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Microsoft Clarity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Heatmaps + session recordings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Free; shows where visitors click, scroll, and drop off — invaluable for CRO post-launch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PostHog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i/>
                <w:iCs/>
                <w:color w:val="3C3B43"/>
                <w:sz w:val="19"/>
              </w:rPr>
              <w:t xml:space="preserve">(if required)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Product analytics, feature flags, funnels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Open-source alternative to Mixpanel/Heap; self-hostable on GCP; use in Phase 2 if you need funnel cohorts, A/B testing, or feature flag gating without a third-party data arrangement</w:t>
            </w:r>
          </w:p>
        </w:tc>
      </w:tr>
    </w:tbl>
    <w:bookmarkEnd w:id="9"/>
    <w:bookmarkStart w:id="10" w:name="search-presence-tools"/>
    <w:p>
      <w:pPr>
        <w:pStyle w:val="Heading3"/>
      </w:pPr>
      <w:r>
        <w:t xml:space="preserve">Search presence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299"/>
        <w:gridCol w:w="4087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Tool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Purpose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When to set up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Google Search Console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Indexing, ranking, Core Web Vitals, manual actions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1 post-launch — verify via DNS TXT in Vercel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Bing Webmaster Tools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Bing + Copilot indexing, keyword data, SEO insights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1 post-launch — Bing serves Copilot AI search; free, 5-min setup</w:t>
            </w:r>
          </w:p>
        </w:tc>
      </w:tr>
    </w:tbl>
    <w:p>
      <w:pPr>
        <w:pStyle w:val="BlockText"/>
        <w:spacing w:before="80" w:after="80"/>
        <w:ind w:left="454" w:right="454"/>
      </w:pPr>
      <w:r>
        <w:rPr>
          <w:b/>
          <w:bCs/>
          <w:i/>
          <w:color w:val="0080B0"/>
        </w:rPr>
        <w:t xml:space="preserve">Why Bing Webmaster Tools matters now: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Microsoft Bing powers Copilot AI answers. Adding TCF’s sitemap there ensures contentment.org is indexed for AI-assisted search (Copilot/Bing Chat), not just Google AI Overviews.</w:t>
      </w:r>
    </w:p>
    <w:bookmarkEnd w:id="10"/>
    <w:bookmarkStart w:id="11" w:name="Xc053a86b2fb39b1d7ea4f297d366aa8bea41b29"/>
    <w:p>
      <w:pPr>
        <w:pStyle w:val="Heading3"/>
      </w:pPr>
      <w:r>
        <w:t xml:space="preserve">Conversion events to track (instrument at build — TICKET-080)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741"/>
        <w:gridCol w:w="3046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Event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Trigger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Platform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cta_homeroom_click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Any Homeroom CTA button click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homeroom_checkout_start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Keela redirect fires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GA4 (via URL param)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cta_school_click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“Start the conversation”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CTA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school_form_submit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 discovery form success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newsletter_submit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Flodesk newsletter form success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story_view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Any /stories/[slug] page load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share_why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Share button on /why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event_rsvp_click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Event RSVP or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“Join for access”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</w:tbl>
    <w:bookmarkEnd w:id="11"/>
    <w:bookmarkStart w:id="12" w:name="Xc5bbbc32b5150417ad319aada903b8ba8aa8ec4"/>
    <w:p>
      <w:pPr>
        <w:pStyle w:val="Heading3"/>
      </w:pPr>
      <w:r>
        <w:t xml:space="preserve">Funnel to monitor (GA4 Explore — Funnel report)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Step 1: Session start (any page)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Step 2: Scrolls past hero (engagement &gt; 10s or scroll depth &gt; 40%)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Step 3: Visits /why or /stories (belief deepening)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Step 4: Visits /give/monthly (intent)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Step 5: cta_homeroom_click fires (conversion intent)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Step 6: Returns from Keela (post-donation — track via UTM on Keela thank-you redirect)</w:t>
      </w:r>
    </w:p>
    <w:bookmarkEnd w:id="12"/>
    <w:bookmarkStart w:id="13" w:name="X21cbe7454f1fdd1c67402cb217d70048b46ce1f"/>
    <w:p>
      <w:pPr>
        <w:pStyle w:val="Heading3"/>
      </w:pPr>
      <w:r>
        <w:t xml:space="preserve">UTM taxonomy (apply consistently on every campaign link)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Parameter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Values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utm_source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newsletter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instagram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linkedin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youtube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google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facebook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partner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utm_medium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email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social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paid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organic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referral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qr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utm_campaign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homeroom-launch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festival-2026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anniversary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school-outreach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[specific campaign name]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utm_content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hero-cta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footer-cta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nav-pill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story-card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(for A/B variant labelling)</w:t>
            </w:r>
          </w:p>
        </w:tc>
      </w:tr>
    </w:tbl>
    <w:bookmarkEnd w:id="13"/>
    <w:bookmarkStart w:id="14" w:name="Xcf5e1f6391a413489d1cfac45d357b247894217"/>
    <w:p>
      <w:pPr>
        <w:pStyle w:val="Heading3"/>
      </w:pPr>
      <w:r>
        <w:t xml:space="preserve">Monthly analytics dashboard (set up in Plausible + GA4)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3283"/>
        <w:gridCol w:w="309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Metric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Target (90 days)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Review cadence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Homeroom conversion rate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Establish baseline; +20% vs old site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/why share rate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≥ 5% of /why sessions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 form submissions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≥ 10 qualified leads/month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Newsletter signups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≥ 200/month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Homepage bounce rate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55%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LCP (4G)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2.5 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Every deploy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Top entry pages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 (signals what content drives discovery)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Top exit pages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 (signals where the journey breaks)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user-journey-maps"/>
    <w:p>
      <w:pPr>
        <w:pStyle w:val="Heading2"/>
      </w:pPr>
      <w:r>
        <w:t xml:space="preserve">2. User Journey Maps</w:t>
      </w:r>
    </w:p>
    <w:bookmarkStart w:id="16" w:name="journey-a-future-member-primary-audience"/>
    <w:p>
      <w:pPr>
        <w:pStyle w:val="Heading3"/>
      </w:pPr>
      <w:r>
        <w:t xml:space="preserve">Journey A — Future Member (primary audience)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DISCOVERY          LANDING           ENGAGING          CONVERTING        BELONGING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Google search   → Any page        → /why or /stories → /give/monthly   → Welcome email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Social share      Cold visitor      Scrolls proof       Keela checkout    Newsletter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Word of mouth     Orientation       Educator story      Founding Member   Events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Email forward     line visible      resonates           confirmation      Renewal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           (Step 1 hook)     (Steps 2 &amp; 3)       (Step 4)          (Step 5)</w:t>
      </w:r>
    </w:p>
    <w:p>
      <w:pPr>
        <w:pStyle w:val="FirstParagraph"/>
      </w:pPr>
      <w:r>
        <w:rPr>
          <w:b/>
          <w:bCs/>
        </w:rPr>
        <w:t xml:space="preserve">Drop-off interventions: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24"/>
        <w:gridCol w:w="1712"/>
        <w:gridCol w:w="2782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Drop-off point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Signal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Intervention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Bounce from homepage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10s session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Strengthen hero headline; test Bhutan photo vs teacher close-up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Leaves /why without acting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Exits on evidence section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Add sticky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“Join from $5”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pill at scroll threshold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Reaches /give/monthly but doesn’t convert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High exit rate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Simplify tier presentation; surface Priscillah quote earlier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Donates but doesn’t open welcome email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 open rate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Improve Keela welcome email subject line; send within 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Email automation sequence (Flodesk — post-Homeroom join):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Email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Timing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Content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Welcome — you’re in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Immediate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Confirmation, Founding Member status, what happens next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Your seat in action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3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One educator story — show the ripple effect of their $5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The community you joined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7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Events coming up, newsletter intro, /why share prompt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 newsletter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TCF updates, new stories, events, movement moments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journey-b-school-leader"/>
    <w:p>
      <w:pPr>
        <w:pStyle w:val="Heading3"/>
      </w:pPr>
      <w:r>
        <w:t xml:space="preserve">Journey B — School Leader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DISCOVERY        AWARENESS          TRUST             ACTION            PARTNERSHIP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Colleague share → /schools         → Renewal data    → Discovery form  → Team follow-up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Google search     /why               Harvard research   Submit            TCF contact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LinkedIn post     Achievement        Educator story     Confirmation      School onboarded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Conference        framing            from their region  email             Programme begins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School leaders need the achievement framing first (wellbeing → academic outcomes), not the emotional hook. Lead with Durlak (11-percentile-point gain) and Hawaiʻi renewal (9 in 10 schools renewed) before moving to stories.</w:t>
      </w:r>
    </w:p>
    <w:p>
      <w:r>
        <w:pict>
          <v:rect style="width:0;height:1.5pt" o:hralign="center" o:hrstd="t" o:hr="t"/>
        </w:pict>
      </w:r>
    </w:p>
    <w:bookmarkEnd w:id="17"/>
    <w:bookmarkStart w:id="18" w:name="journey-c-educator"/>
    <w:p>
      <w:pPr>
        <w:pStyle w:val="Heading3"/>
      </w:pPr>
      <w:r>
        <w:t xml:space="preserve">Journey C — Educator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DISCOVERY       RECOGNITION        RELIEF            COMMUNITY          ADVOCACY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School-based  → /schools          → Free circles    → Circle/event     → Tells colleagues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Social media    "This is for me"    Scholarship         experience         School door opens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Colleague       not another         pathway             Shares TCF         TCF school partner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        plate               discovered          with others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seo-page-by-page"/>
    <w:p>
      <w:pPr>
        <w:pStyle w:val="Heading2"/>
      </w:pPr>
      <w:r>
        <w:t xml:space="preserve">3. SEO — Page-by-Page</w:t>
      </w:r>
    </w:p>
    <w:bookmarkStart w:id="20" w:name="meta-titles-and-descriptions"/>
    <w:p>
      <w:pPr>
        <w:pStyle w:val="Heading3"/>
      </w:pPr>
      <w:r>
        <w:t xml:space="preserve">Meta titles and descriptions</w:t>
      </w:r>
    </w:p>
    <w:p>
      <w:pPr>
        <w:pStyle w:val="FirstParagraph"/>
      </w:pPr>
      <w:r>
        <w:t xml:space="preserve">All titles ≤ 60 characters. All descriptions 140–160 characters.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562"/>
        <w:gridCol w:w="396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Page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Title tag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Meta description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Home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The Contentment Foundation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 equip teachers with evidenced wellbeing practices. 325 schools. 12 countries. 86% of educators report real improvement. Join from $5/month.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Why Teacher Wellbeing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/why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Why Teacher Wellbeing Matters — TCF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Teacher burnout is a children problem, a future problem. See the Harvard research, the 86% outcome, and why wellbeing is the antidote.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Educator Stories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/stories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Educator Stories — The Contentment Foundation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Real teachers. Real transformation. Stories from 12 countries show what happens when educators are given the tools to tend to their own wellbeing.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For Schools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/schools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 Wellbeing Partnerships — TCF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9 in 10 partner schools in Hawaiʻi renewed. See how TCF’s Four Pillars framework improves teacher wellbeing and student outcomes. Start a conversation.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Get Involved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/give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Get Involved — The Contentment Foundation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 movement for teachers needs more than money. It needs you. Join Homeroom, bring it to your school, spread the word, or experience it yourself.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Homeroom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/give/monthly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Join Homeroom — The Contentment Foundation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Nobody runs homeroom for teachers — until now. Become a Founding Member from $5/month and support teacher wellbeing worldwide. 100 Hearts.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Events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/events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Events &amp; Experiences — TCF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Contentment Festival 2026. Member workshops. Retreats. Experience the movement for yourself — attend, connect, and belong.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About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/about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About The Contentment Foundation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Since 2016, TCF has reached 11,925 educators and 409,625+ students across 12 countries with scientifically evidenced teacher wellbeing practices.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Impact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/impact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Our Impact — The Contentment Foundation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86% of educators report improvement across wellbeing, relationships, and classroom presence. See how the ripple reaches every student they teach.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Story page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/stories/[slug]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[Educator Name], [Country] — TCF Stories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[First sentence of educator’s story — specific, emotional, named.] The Contentment Foundation.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Privacy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/privacy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Privacy Policy — The Contentment Foundation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How The Contentment Foundation collects, uses, and protects your data when you visit contentment.org.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Terms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/terms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Terms of Use — The Contentment Foundation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Terms governing use of contentment.org and The Contentment Foundation’s digital properties.</w:t>
            </w:r>
          </w:p>
        </w:tc>
      </w:tr>
    </w:tbl>
    <w:bookmarkEnd w:id="20"/>
    <w:bookmarkStart w:id="21" w:name="X2f09d0135498ef239a7a92eac10ed7c5aca884d"/>
    <w:p>
      <w:pPr>
        <w:pStyle w:val="Heading3"/>
      </w:pPr>
      <w:r>
        <w:t xml:space="preserve">Open Graph tags (per page — apply in BaseLayout.astro)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&lt;!-- Required on every page --&gt;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property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"og:type"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       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"website"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property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"og:site_name"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  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"The Contentment Foundation"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property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"og:title"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      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"[page title]"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property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"og:description"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"[meta description]"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property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"og:url"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        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"https://contentment.org/[slug]"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property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"og:image"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      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"https://contentment.org/assets/og/og-[page].jpg"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property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"og:image:width"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"1200"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property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"og:image:height"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"630"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&lt;!-- Twitter / X card --&gt;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name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"twitter:card"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      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"summary_large_image"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name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"twitter:title"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     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"[page title]"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name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"twitter:description"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"[meta description]"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meta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name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"twitter:image"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      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"https://contentment.org/assets/og/og-[page].jpg"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OG image brief:</w:t>
      </w:r>
      <w:r>
        <w:t xml:space="preserve"> </w:t>
      </w:r>
      <w:r>
        <w:t xml:space="preserve">1200 × 630 px. Dark hero with TCF wordmark top-left. Page-specific headline in Newsreader. Teal accent. Bhutan or Kenya educator photo where appropriate. Create one per Phase 1 page.</w:t>
      </w:r>
    </w:p>
    <w:bookmarkEnd w:id="21"/>
    <w:bookmarkStart w:id="22" w:name="structured-data-json-ld"/>
    <w:p>
      <w:pPr>
        <w:pStyle w:val="Heading3"/>
      </w:pPr>
      <w:r>
        <w:t xml:space="preserve">Structured data — JSON-LD</w:t>
      </w:r>
    </w:p>
    <w:p>
      <w:pPr>
        <w:pStyle w:val="FirstParagraph"/>
      </w:pPr>
      <w:r>
        <w:rPr>
          <w:b/>
          <w:bCs/>
        </w:rPr>
        <w:t xml:space="preserve">Homepage — Organization schema: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"@context"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"https://schema.org"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"@type"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"NGO"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"name"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"The Contentment Foundation"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"url"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"https://contentment.org"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"logo"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"https://contentment.org/assets/logo.svg"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"description"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"The Contentment Foundation equips teachers with the wellbeing tools to thrive, because every future we care about runs through a teacher."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"foundingDate"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"2016"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"areaServed"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"Worldwide"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"numberOfEmployees"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"@type"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"QuantitativeValue"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"sameAs"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[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"https://www.linkedin.com/company/contentment-foundation"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"https://www.instagram.com/contentmentfoundation"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]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Homeroom page — FAQPage schema</w:t>
      </w:r>
      <w:r>
        <w:t xml:space="preserve"> </w:t>
      </w:r>
      <w:r>
        <w:t xml:space="preserve">(for Homeroom FAQ section):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"@context"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"https://schema.org"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"@type"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"FAQPage"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"mainEntity"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[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"@type"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"Question"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"name"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"What is Homeroom?"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"acceptedAnswer"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"@type"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"Answer"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"text"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"Homeroom is TCF's monthly giving community..."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"@type"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"Question"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"name"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"Is my contribution tax-deductible?"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"acceptedAnswer"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"@type"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"Answer"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"text"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"Yes. The Contentment Foundation is a registered 501(c)(3)..."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]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Story pages — Article schema: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"@context"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"https://schema.org"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"@type"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"Article"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"headline"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"[Educator Name]'s Story — [Country]"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"author"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"@type"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"Organization"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"name"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"The Contentment Foundation"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"publisher"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"@type"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"Organization"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"name"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"The Contentment Foundation"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"logo"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"@type"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"ImageObject"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"url"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"https://contentment.org/assets/logo.svg"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"datePublished"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"[ISO date]"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"image"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"[hero_image_url]"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"description"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"[quote excerpt]"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keyword-strategy"/>
    <w:p>
      <w:pPr>
        <w:pStyle w:val="Heading2"/>
      </w:pPr>
      <w:r>
        <w:t xml:space="preserve">4. Keyword Strategy</w:t>
      </w:r>
    </w:p>
    <w:bookmarkStart w:id="24" w:name="priority-keywords-by-intent"/>
    <w:p>
      <w:pPr>
        <w:pStyle w:val="Heading3"/>
      </w:pPr>
      <w:r>
        <w:t xml:space="preserve">Priority keywords by intent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586"/>
        <w:gridCol w:w="2101"/>
        <w:gridCol w:w="1939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Intent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Keyword cluster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Target page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Difficulty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Informational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“why teacher wellbeing matters”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burnout effects on students”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wellbeing research”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/why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Informational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“teacher wellbeing statistics”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stress research”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“SEL program results”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/why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/about/our-work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Navigational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“Contentment Foundation”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“TCF teacher wellbeing”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 (own it)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Commercial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“teacher wellbeing program”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“school wellbeing partnership”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“wellbeing program for schools”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/schools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Medium–High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Transactional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“support teacher wellbeing”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“donate to teacher charity”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wellbeing charity”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/give/monthly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Low–Medium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Local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“teacher wellbeing program Kenya”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wellbeing Bhutan”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wellbeing Hawaii”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/stories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story pages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</w:t>
            </w:r>
          </w:p>
        </w:tc>
      </w:tr>
    </w:tbl>
    <w:bookmarkEnd w:id="24"/>
    <w:bookmarkStart w:id="25" w:name="content-clusters-hub-and-spoke"/>
    <w:p>
      <w:pPr>
        <w:pStyle w:val="Heading3"/>
      </w:pPr>
      <w:r>
        <w:t xml:space="preserve">Content clusters (hub and spoke)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Hub: /why (Teacher Wellbeing — the case)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└── Spoke: /stories/[educator-name]  (proof — lived experience)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└── Spoke: /about/our-work           (methodology — Four Pillars)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└── Spoke: /schools                  (application — school leaders)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└── Spoke: /impact                   (scale — numbers and outcomes)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Hub: /give (Get Involved)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└── Spoke: /give/monthly             (Homeroom)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└── Spoke: /give/corporate           (corporate giving)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└── Spoke: /give/fundraise           (peer fundraise)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└── Spoke: /events                   (experience it)</w:t>
      </w:r>
    </w:p>
    <w:bookmarkEnd w:id="25"/>
    <w:bookmarkStart w:id="26" w:name="internal-linking-rules"/>
    <w:p>
      <w:pPr>
        <w:pStyle w:val="Heading3"/>
      </w:pPr>
      <w:r>
        <w:t xml:space="preserve">Internal linking rules</w:t>
      </w:r>
    </w:p>
    <w:p>
      <w:pPr>
        <w:pStyle w:val="Compact"/>
        <w:numPr>
          <w:ilvl w:val="0"/>
          <w:numId w:val="1001"/>
        </w:numPr>
      </w:pPr>
      <w:r>
        <w:t xml:space="preserve">Every page links to</w:t>
      </w:r>
      <w:r>
        <w:t xml:space="preserve"> </w:t>
      </w:r>
      <w:r>
        <w:rPr>
          <w:rStyle w:val="VerbatimChar"/>
        </w:rPr>
        <w:t xml:space="preserve">/why</w:t>
      </w:r>
      <w:r>
        <w:t xml:space="preserve"> </w:t>
      </w:r>
      <w:r>
        <w:t xml:space="preserve">(most shareable, strongest SEO signal)</w:t>
      </w:r>
    </w:p>
    <w:p>
      <w:pPr>
        <w:pStyle w:val="Compact"/>
        <w:numPr>
          <w:ilvl w:val="0"/>
          <w:numId w:val="1001"/>
        </w:numPr>
      </w:pPr>
      <w:r>
        <w:t xml:space="preserve">Every educator story links back to</w:t>
      </w:r>
      <w:r>
        <w:t xml:space="preserve"> </w:t>
      </w:r>
      <w:r>
        <w:rPr>
          <w:rStyle w:val="VerbatimChar"/>
        </w:rPr>
        <w:t xml:space="preserve">/stories</w:t>
      </w:r>
      <w:r>
        <w:t xml:space="preserve"> </w:t>
      </w:r>
      <w:r>
        <w:t xml:space="preserve">(index) and</w:t>
      </w:r>
      <w:r>
        <w:t xml:space="preserve"> </w:t>
      </w:r>
      <w:r>
        <w:rPr>
          <w:rStyle w:val="VerbatimChar"/>
        </w:rPr>
        <w:t xml:space="preserve">/why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/schools</w:t>
      </w:r>
      <w:r>
        <w:t xml:space="preserve"> </w:t>
      </w:r>
      <w:r>
        <w:t xml:space="preserve">links to specific educator stories from the same region</w:t>
      </w:r>
    </w:p>
    <w:p>
      <w:pPr>
        <w:pStyle w:val="Compact"/>
        <w:numPr>
          <w:ilvl w:val="0"/>
          <w:numId w:val="1001"/>
        </w:numPr>
      </w:pPr>
      <w:r>
        <w:t xml:space="preserve">Footer links:</w:t>
      </w:r>
      <w:r>
        <w:t xml:space="preserve"> </w:t>
      </w:r>
      <w:r>
        <w:rPr>
          <w:rStyle w:val="VerbatimChar"/>
        </w:rPr>
        <w:t xml:space="preserve">/why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/stories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/give/monthly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/schools</w:t>
      </w:r>
    </w:p>
    <w:p>
      <w:pPr>
        <w:pStyle w:val="Compact"/>
        <w:numPr>
          <w:ilvl w:val="0"/>
          <w:numId w:val="1001"/>
        </w:numPr>
      </w:pPr>
      <w:r>
        <w:t xml:space="preserve">Anchor text should be descriptive, never</w:t>
      </w:r>
      <w:r>
        <w:t xml:space="preserve"> </w:t>
      </w:r>
      <w:r>
        <w:t xml:space="preserve">“click here”</w:t>
      </w:r>
      <w:r>
        <w:t xml:space="preserve"> </w:t>
      </w:r>
      <w:r>
        <w:t xml:space="preserve">or</w:t>
      </w:r>
      <w:r>
        <w:t xml:space="preserve"> </w:t>
      </w:r>
      <w:r>
        <w:t xml:space="preserve">“learn more”</w:t>
      </w:r>
    </w:p>
    <w:bookmarkEnd w:id="26"/>
    <w:bookmarkStart w:id="27" w:name="backlink-targets"/>
    <w:p>
      <w:pPr>
        <w:pStyle w:val="Heading3"/>
      </w:pPr>
      <w:r>
        <w:t xml:space="preserve">Backlink targets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1"/>
        <w:gridCol w:w="2299"/>
        <w:gridCol w:w="2299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Source type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Examples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Approach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Education media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EdSurge, Edutopia, TES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Guest article or research citation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Nonprofit/philanthropy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Chronicle of Philanthropy, Inside Philanthropy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Press release on milestone (10th anniversary)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Wellbeing / mental health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Greater Good Science Center, Mindful.org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Cite their research; they often reciprocate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Academic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University of Virginia (Jennings), Harvard GSE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Request citation link on research they reference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Regional education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Kenya education press, Bhutan news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Local educator stories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aio-ai-search-optimisation-geo"/>
    <w:p>
      <w:pPr>
        <w:pStyle w:val="Heading2"/>
      </w:pPr>
      <w:r>
        <w:t xml:space="preserve">5. AIO — AI Search Optimisation (GEO)</w:t>
      </w:r>
    </w:p>
    <w:p>
      <w:pPr>
        <w:pStyle w:val="FirstParagraph"/>
      </w:pPr>
      <w:r>
        <w:t xml:space="preserve">AI search engines (Google AI Overviews, Perplexity, ChatGPT Search, Bing Copilot) surface content differently from traditional search. They synthesise answers from authoritative, structured, factual sources.</w:t>
      </w:r>
    </w:p>
    <w:bookmarkStart w:id="29" w:name="what-makes-content-citable-by-ai"/>
    <w:p>
      <w:pPr>
        <w:pStyle w:val="Heading3"/>
      </w:pPr>
      <w:r>
        <w:t xml:space="preserve">What makes content citable by AI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Signal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How to apply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Factual density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Lead every page with concrete stats: 325 schools, 86%, 12 countries. AI engines pull numbers.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Direct answers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Write one-sentence answers to likely questions before expanding.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wellbeing improves classroom quality. In the largest randomised trial of its kind…”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Named citations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Reference Jennings et al. (2017), Durlak et al. (2011) by name — AI engines trust pages that cite peer-reviewed research.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Organisation entity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Establish TCF as a named entity: consistent name, URL, founding date, mission across site, social profiles, and press mentions.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E-E-A-T signals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Staff/team page with real names and credentials; external citations; About page with founding story; press coverage links.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FAQ format on key pages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FAQPage schema + visible Q&amp;A blocks on /give/monthly and /why. AI engines pull FAQ answers directly into overviews.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Structured headings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Use descriptive H2s that mirror likely search queries: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“Does teacher wellbeing improve student outcomes?”</w:t>
            </w:r>
          </w:p>
        </w:tc>
      </w:tr>
    </w:tbl>
    <w:bookmarkEnd w:id="29"/>
    <w:bookmarkStart w:id="30" w:name="geo-content-checklist-per-page"/>
    <w:p>
      <w:pPr>
        <w:pStyle w:val="Heading3"/>
      </w:pPr>
      <w:r>
        <w:t xml:space="preserve">GEO content checklist per page</w:t>
      </w:r>
    </w:p>
    <w:p>
      <w:pPr>
        <w:pStyle w:val="Compact"/>
        <w:numPr>
          <w:ilvl w:val="0"/>
          <w:numId w:val="1002"/>
        </w:numPr>
      </w:pPr>
      <w:r>
        <w:t xml:space="preserve">Page answers one clear question in the first 50 words</w:t>
      </w:r>
    </w:p>
    <w:p>
      <w:pPr>
        <w:pStyle w:val="Compact"/>
        <w:numPr>
          <w:ilvl w:val="0"/>
          <w:numId w:val="1003"/>
        </w:numPr>
      </w:pPr>
      <w:r>
        <w:t xml:space="preserve">Stats appear in the first scroll</w:t>
      </w:r>
    </w:p>
    <w:p>
      <w:pPr>
        <w:pStyle w:val="Compact"/>
        <w:numPr>
          <w:ilvl w:val="0"/>
          <w:numId w:val="1004"/>
        </w:numPr>
      </w:pPr>
      <w:r>
        <w:t xml:space="preserve">At least one named external research citation (linked to DOI)</w:t>
      </w:r>
    </w:p>
    <w:p>
      <w:pPr>
        <w:pStyle w:val="Compact"/>
        <w:numPr>
          <w:ilvl w:val="0"/>
          <w:numId w:val="1005"/>
        </w:numPr>
      </w:pPr>
      <w:r>
        <w:t xml:space="preserve">FAQPage schema on /give/monthly and /why</w:t>
      </w:r>
    </w:p>
    <w:p>
      <w:pPr>
        <w:pStyle w:val="Compact"/>
        <w:numPr>
          <w:ilvl w:val="0"/>
          <w:numId w:val="1006"/>
        </w:numPr>
      </w:pPr>
      <w:r>
        <w:t xml:space="preserve">Organization schema on homepage</w:t>
      </w:r>
    </w:p>
    <w:p>
      <w:pPr>
        <w:pStyle w:val="Compact"/>
        <w:numPr>
          <w:ilvl w:val="0"/>
          <w:numId w:val="1007"/>
        </w:numPr>
      </w:pPr>
      <w:r>
        <w:t xml:space="preserve">Headings are question-shaped where appropriate</w:t>
      </w:r>
    </w:p>
    <w:p>
      <w:pPr>
        <w:pStyle w:val="Compact"/>
        <w:numPr>
          <w:ilvl w:val="0"/>
          <w:numId w:val="1008"/>
        </w:numPr>
      </w:pPr>
      <w:r>
        <w:t xml:space="preserve">No jargon without inline definition (for AI to understand context)</w:t>
      </w:r>
    </w:p>
    <w:bookmarkEnd w:id="30"/>
    <w:bookmarkStart w:id="31" w:name="entity-establishment-priorities"/>
    <w:p>
      <w:pPr>
        <w:pStyle w:val="Heading3"/>
      </w:pPr>
      <w:r>
        <w:t xml:space="preserve">Entity establishment priorities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741"/>
        <w:gridCol w:w="2741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Action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Platform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Priority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Consistent NAP (name, address, purpose)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All social + site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High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Wikipedia article or Wikidata entry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Wikipedia / Wikidata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High — AI engines heavily weight Wikipedia-linked entities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Google Knowledge Panel claim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Google Search Console + Google Business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High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Crunchbase / LinkedIn company page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Crunchbase, LinkedIn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Charity Navigator / GuideStar profile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CN, Candid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 — trust signal for AI and donors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Press coverage with entity mentions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Education press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High — AI favours entities cited in news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8" w:name="google-ranking-strategy"/>
    <w:p>
      <w:pPr>
        <w:pStyle w:val="Heading2"/>
      </w:pPr>
      <w:r>
        <w:t xml:space="preserve">6. Google Ranking Strategy</w:t>
      </w:r>
    </w:p>
    <w:bookmarkStart w:id="33" w:name="core-web-vitals-targets-and-owners"/>
    <w:p>
      <w:pPr>
        <w:pStyle w:val="Heading3"/>
      </w:pPr>
      <w:r>
        <w:t xml:space="preserve">Core Web Vitals — targets and owners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534"/>
        <w:gridCol w:w="2851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Metric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Target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Owned by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LCP (Largest Contentful Paint)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2.5 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Engineering (image optimisation, preconnect)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INP (Interaction to Next Paint)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200 ms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Engineering (minimal JS, defer non-critical)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CLS (Cumulative Layout Shift)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0.1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Engineering (explicit image dimensions, font display)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TTFB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600 ms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CDN (static = fast by default)</w:t>
            </w:r>
          </w:p>
        </w:tc>
      </w:tr>
    </w:tbl>
    <w:bookmarkEnd w:id="33"/>
    <w:bookmarkStart w:id="34" w:name="X71309c2eba63ed549ff06a71fba1db6cbff774e"/>
    <w:p>
      <w:pPr>
        <w:pStyle w:val="Heading3"/>
      </w:pPr>
      <w:r>
        <w:t xml:space="preserve">Google Search Console setup (day 1 post-launch)</w:t>
      </w:r>
    </w:p>
    <w:p>
      <w:pPr>
        <w:pStyle w:val="Compact"/>
        <w:numPr>
          <w:ilvl w:val="0"/>
          <w:numId w:val="1009"/>
        </w:numPr>
      </w:pPr>
      <w:r>
        <w:t xml:space="preserve">Verify ownership via DNS TXT record (Vercel DNS) or HTML meta tag</w:t>
      </w:r>
    </w:p>
    <w:p>
      <w:pPr>
        <w:pStyle w:val="Compact"/>
        <w:numPr>
          <w:ilvl w:val="0"/>
          <w:numId w:val="1010"/>
        </w:numPr>
      </w:pPr>
      <w:r>
        <w:t xml:space="preserve">Submit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(all public Phase 1 URLs)</w:t>
      </w:r>
    </w:p>
    <w:p>
      <w:pPr>
        <w:pStyle w:val="Compact"/>
        <w:numPr>
          <w:ilvl w:val="0"/>
          <w:numId w:val="1011"/>
        </w:numPr>
      </w:pPr>
      <w:r>
        <w:t xml:space="preserve">Set preferred domain (with or without www — choose and redirect the other)</w:t>
      </w:r>
    </w:p>
    <w:p>
      <w:pPr>
        <w:pStyle w:val="Compact"/>
        <w:numPr>
          <w:ilvl w:val="0"/>
          <w:numId w:val="1012"/>
        </w:numPr>
      </w:pPr>
      <w:r>
        <w:t xml:space="preserve">Monitor Core Web Vitals report weekly for first month</w:t>
      </w:r>
    </w:p>
    <w:p>
      <w:pPr>
        <w:pStyle w:val="Compact"/>
        <w:numPr>
          <w:ilvl w:val="0"/>
          <w:numId w:val="1013"/>
        </w:numPr>
      </w:pPr>
      <w:r>
        <w:t xml:space="preserve">Monitor Index Coverage — flag any pages marked as</w:t>
      </w:r>
      <w:r>
        <w:t xml:space="preserve"> </w:t>
      </w:r>
      <w:r>
        <w:t xml:space="preserve">“Crawled but not indexed”</w:t>
      </w:r>
    </w:p>
    <w:p>
      <w:pPr>
        <w:pStyle w:val="Compact"/>
        <w:numPr>
          <w:ilvl w:val="0"/>
          <w:numId w:val="1014"/>
        </w:numPr>
      </w:pPr>
      <w:r>
        <w:t xml:space="preserve">Set up email alerts for manual actions or security issues</w:t>
      </w:r>
    </w:p>
    <w:bookmarkEnd w:id="34"/>
    <w:bookmarkStart w:id="35" w:name="Xdc015e4062d344f817ce75e58e26333d28e0b40"/>
    <w:p>
      <w:pPr>
        <w:pStyle w:val="Heading3"/>
      </w:pPr>
      <w:r>
        <w:t xml:space="preserve">sitemap.xml (generate via Astro integration or manually)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&lt;?xml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version=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"1.0"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encoding=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"UTF-8"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?&gt;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urlset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xmlns=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"https://www.sitemaps.org/schemas/sitemap/0.9"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&gt;https://contentment.org/&lt;/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         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&gt;1.0&lt;/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&gt;https://contentment.org/why&lt;/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       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&gt;0.9&lt;/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&gt;https://contentment.org/stories&lt;/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   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&gt;0.9&lt;/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&gt;https://contentment.org/schools&lt;/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   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&gt;0.8&lt;/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&gt;https://contentment.org/give&lt;/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      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&gt;0.8&lt;/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&gt;https://contentment.org/give/monthly&lt;/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&gt;0.9&lt;/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&gt;https://contentment.org/stories/[slug]&lt;/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loc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&gt;0.7&lt;/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priority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&lt;!-- exclude /homeroom/* (gated) and /privacy, /terms (low priority) --&gt;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&lt;/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urlset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&gt;</w:t>
      </w:r>
    </w:p>
    <w:bookmarkEnd w:id="35"/>
    <w:bookmarkStart w:id="36" w:name="robots.txt"/>
    <w:p>
      <w:pPr>
        <w:pStyle w:val="Heading3"/>
      </w:pPr>
      <w:r>
        <w:t xml:space="preserve">robots.txt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User-agent: *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Allow: 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Disallow: /homeroom/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Disallow: /api/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Sitemap: https://contentment.org/sitemap.xml</w:t>
      </w:r>
    </w:p>
    <w:bookmarkEnd w:id="36"/>
    <w:bookmarkStart w:id="37" w:name="X29b2c900a047adccc0cc0de6a4a4cff3bace66b"/>
    <w:p>
      <w:pPr>
        <w:pStyle w:val="Heading3"/>
      </w:pPr>
      <w:r>
        <w:t xml:space="preserve">E-E-A-T (Experience, Expertise, Authoritativeness, Trustworthiness)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Signal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Action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Experience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Educator stories with real names, schools, countries, and quotes; testimonials from named school leaders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Expertise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About / Team page with founder and team credentials; research page citing Jennings, Durlak, Harvard GSE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Authoritativeness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Press coverage links; Bhutan national strategy mention; Harvard GSE research citation; external backlinks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Trustworthiness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501(c)(3) status + EIN on /give/monthly; /privacy and /terms pages live before launch; HTTPS; Charity Navigator profile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post-launch-growth-cadence"/>
    <w:p>
      <w:pPr>
        <w:pStyle w:val="Heading2"/>
      </w:pPr>
      <w:r>
        <w:t xml:space="preserve">7. Post-Launch Growth Cadence</w:t>
      </w:r>
    </w:p>
    <w:bookmarkStart w:id="39" w:name="month-1-establish-baseline"/>
    <w:p>
      <w:pPr>
        <w:pStyle w:val="Heading3"/>
      </w:pPr>
      <w:r>
        <w:t xml:space="preserve">Month 1 — Establish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Week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Action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Verify GSC, submit sitemap, confirm all events firing in Plausible + GA4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Set up Clarity heatmaps on homepage, /why, /give/monthly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2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First analytics review — top entry pages, bounce by page, conversion funnel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3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Share /why on all channels with UTM links; track share rate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4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 1 report: baseline metrics locked in</w:t>
            </w:r>
          </w:p>
        </w:tc>
      </w:tr>
    </w:tbl>
    <w:bookmarkEnd w:id="39"/>
    <w:bookmarkStart w:id="40" w:name="month-23-optimise"/>
    <w:p>
      <w:pPr>
        <w:pStyle w:val="Heading3"/>
      </w:pPr>
      <w:r>
        <w:t xml:space="preserve">Month 2–3 — Optimise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Focus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Action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CRO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Review Clarity recordings of /give/monthly; identify drop-off point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SEO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Check GSC for impressions vs clicks; optimise titles on pages with high impressions + low CTR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Content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Publish 2+ additional educator stories (improves /stories crawl depth + backlink targets)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AIO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Ensure FAQPage schema live on /why and /give/monthly; check if TCF appears in AI Overviews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Email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Review welcome email open rate; A/B test subject line</w:t>
            </w:r>
          </w:p>
        </w:tc>
      </w:tr>
    </w:tbl>
    <w:bookmarkEnd w:id="40"/>
    <w:bookmarkStart w:id="41" w:name="quarterly-review-cadence"/>
    <w:p>
      <w:pPr>
        <w:pStyle w:val="Heading3"/>
      </w:pPr>
      <w:r>
        <w:t xml:space="preserve">Quarterly review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Review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Focus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Q3 2026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GSC ranking gains; Homeroom conversion improvement vs baseline; story page performance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Q4 2026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Festival campaign analytics; seasonal Homeroom push (holiday giving); year-end story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Q1 2027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Annual SEO audit; update meta descriptions for pages with declining CTR; structured data audit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social-sharing-optimisation"/>
    <w:p>
      <w:pPr>
        <w:pStyle w:val="Heading2"/>
      </w:pPr>
      <w:r>
        <w:t xml:space="preserve">8. Social Sharing Optimisation</w:t>
      </w:r>
    </w:p>
    <w:bookmarkStart w:id="43" w:name="Xf208807202ceb0b007028c94c64670cdbbcda2f"/>
    <w:p>
      <w:pPr>
        <w:pStyle w:val="Heading3"/>
      </w:pPr>
      <w:r>
        <w:t xml:space="preserve">Per-page share assets (brief for comms team)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630"/>
        <w:gridCol w:w="231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Page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Share text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Asset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/why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“Teacher burnout is a children problem. Here’s the research — and what one org is doing about it.”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link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Shareable stat card: 86%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/stories/[slug]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“[Educator name]’s story changed how I think about what teachers carry.”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link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Educator photo card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/give/monthly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“I just joined the movement supporting teacher wellbeing. From $5/month anyone can.”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link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Founding Member badge graphic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“Every future we care about runs through a teacher.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@ContentmentFdn</w:t>
            </w:r>
            <w:r>
              <w:rPr>
                <w:rFonts w:ascii="Calibri" w:hAnsi="Calibri"/>
                <w:color w:val="3C3B43"/>
                <w:sz w:val="19"/>
              </w:rPr>
              <w:t xml:space="preserve">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link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Tagline card</w:t>
            </w:r>
          </w:p>
        </w:tc>
      </w:tr>
    </w:tbl>
    <w:bookmarkEnd w:id="43"/>
    <w:bookmarkStart w:id="44" w:name="X9a0d2b273b5d97d1111b82bedb82752aa52ab5b"/>
    <w:p>
      <w:pPr>
        <w:pStyle w:val="Heading3"/>
      </w:pPr>
      <w:r>
        <w:t xml:space="preserve">Share button on /why (TICKET-020 acceptance criterion)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navigator.share()</w:t>
      </w:r>
      <w:r>
        <w:t xml:space="preserve"> </w:t>
      </w:r>
      <w:r>
        <w:t xml:space="preserve">(Web Share API) with copy-link fallback: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async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function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shareWhy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() 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const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data 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title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'Why Teacher Wellbeing Matters'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text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'Teacher burnout is a children problem. Here is the research.'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'https://contentment.org/why'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}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ControlFlowTok"/>
          <w:rFonts w:ascii="Courier New" w:hAnsi="Courier New"/>
          <w:b w:val="0"/>
          <w:color w:val="02374F"/>
          <w:sz w:val="18"/>
        </w:rPr>
        <w:t xml:space="preserve">if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(</w:t>
      </w:r>
      <w:r>
        <w:rPr>
          <w:rStyle w:val="BuiltInTok"/>
          <w:rFonts w:ascii="Courier New" w:hAnsi="Courier New"/>
          <w:b w:val="0"/>
          <w:color w:val="02374F"/>
          <w:sz w:val="18"/>
        </w:rPr>
        <w:t xml:space="preserve">navigator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AttributeTok"/>
          <w:rFonts w:ascii="Courier New" w:hAnsi="Courier New"/>
          <w:b w:val="0"/>
          <w:color w:val="02374F"/>
          <w:sz w:val="18"/>
        </w:rPr>
        <w:t xml:space="preserve">share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) 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ControlFlowTok"/>
          <w:rFonts w:ascii="Courier New" w:hAnsi="Courier New"/>
          <w:b w:val="0"/>
          <w:color w:val="02374F"/>
          <w:sz w:val="18"/>
        </w:rPr>
        <w:t xml:space="preserve">await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BuiltInTok"/>
          <w:rFonts w:ascii="Courier New" w:hAnsi="Courier New"/>
          <w:b w:val="0"/>
          <w:color w:val="02374F"/>
          <w:sz w:val="18"/>
        </w:rPr>
        <w:t xml:space="preserve">navigator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share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(data)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trackEvent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'share_why'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)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} </w:t>
      </w:r>
      <w:r>
        <w:rPr>
          <w:rStyle w:val="ControlFlowTok"/>
          <w:rFonts w:ascii="Courier New" w:hAnsi="Courier New"/>
          <w:b w:val="0"/>
          <w:color w:val="02374F"/>
          <w:sz w:val="18"/>
        </w:rPr>
        <w:t xml:space="preserve">else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BuiltInTok"/>
          <w:rFonts w:ascii="Courier New" w:hAnsi="Courier New"/>
          <w:b w:val="0"/>
          <w:color w:val="02374F"/>
          <w:sz w:val="18"/>
        </w:rPr>
        <w:t xml:space="preserve">navigator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AttributeTok"/>
          <w:rFonts w:ascii="Courier New" w:hAnsi="Courier New"/>
          <w:b w:val="0"/>
          <w:color w:val="02374F"/>
          <w:sz w:val="18"/>
        </w:rPr>
        <w:t xml:space="preserve">clipboard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writeText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(data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AttributeTok"/>
          <w:rFonts w:ascii="Courier New" w:hAnsi="Courier New"/>
          <w:b w:val="0"/>
          <w:color w:val="02374F"/>
          <w:sz w:val="18"/>
        </w:rPr>
        <w:t xml:space="preserve">url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)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// show "Link copied" toast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}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0e50bae7df58ddeb5bca53c9c79ee61b6d6a707"/>
    <w:p>
      <w:pPr>
        <w:pStyle w:val="Heading2"/>
      </w:pPr>
      <w:r>
        <w:t xml:space="preserve">9. Campaign Tracking — Festival 2026 &amp; Anniversary</w:t>
      </w:r>
    </w:p>
    <w:bookmarkStart w:id="46" w:name="utm-structure-for-festival"/>
    <w:p>
      <w:pPr>
        <w:pStyle w:val="Heading3"/>
      </w:pPr>
      <w:r>
        <w:t xml:space="preserve">UTM structure for Festival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utm_source=   instagram | email | google | partner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utm_medium=   social | email | paid | referral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utm_campaign= festival-2026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utm_content=  hero-banner | story-card | countdown-post | speaker-announcement</w:t>
      </w:r>
    </w:p>
    <w:bookmarkEnd w:id="46"/>
    <w:bookmarkStart w:id="47" w:name="dedicated-festival-analytics-ticket-094"/>
    <w:p>
      <w:pPr>
        <w:pStyle w:val="Heading3"/>
      </w:pPr>
      <w:r>
        <w:t xml:space="preserve">Dedicated Festival analytics (TICKET-094)</w:t>
      </w:r>
    </w:p>
    <w:p>
      <w:pPr>
        <w:pStyle w:val="Compact"/>
        <w:numPr>
          <w:ilvl w:val="0"/>
          <w:numId w:val="1015"/>
        </w:numPr>
      </w:pPr>
      <w:r>
        <w:t xml:space="preserve">Separate Plausible goal:</w:t>
      </w:r>
      <w:r>
        <w:t xml:space="preserve"> </w:t>
      </w:r>
      <w:r>
        <w:rPr>
          <w:rStyle w:val="VerbatimChar"/>
        </w:rPr>
        <w:t xml:space="preserve">festival_email_capture</w:t>
      </w:r>
    </w:p>
    <w:p>
      <w:pPr>
        <w:pStyle w:val="Compact"/>
        <w:numPr>
          <w:ilvl w:val="0"/>
          <w:numId w:val="1015"/>
        </w:numPr>
      </w:pPr>
      <w:r>
        <w:t xml:space="preserve">Separate GA4 conversion:</w:t>
      </w:r>
      <w:r>
        <w:t xml:space="preserve"> </w:t>
      </w:r>
      <w:r>
        <w:rPr>
          <w:rStyle w:val="VerbatimChar"/>
        </w:rPr>
        <w:t xml:space="preserve">festival_rsvp</w:t>
      </w:r>
    </w:p>
    <w:p>
      <w:pPr>
        <w:pStyle w:val="Compact"/>
        <w:numPr>
          <w:ilvl w:val="0"/>
          <w:numId w:val="1015"/>
        </w:numPr>
      </w:pPr>
      <w:r>
        <w:t xml:space="preserve">Track traffic source breakdown for post-campaign report</w:t>
      </w:r>
    </w:p>
    <w:p>
      <w:pPr>
        <w:pStyle w:val="Compact"/>
        <w:numPr>
          <w:ilvl w:val="0"/>
          <w:numId w:val="1015"/>
        </w:numPr>
      </w:pPr>
      <w:r>
        <w:t xml:space="preserve">Archive redirect plan: after Festival,</w:t>
      </w:r>
      <w:r>
        <w:t xml:space="preserve"> </w:t>
      </w:r>
      <w:r>
        <w:rPr>
          <w:rStyle w:val="VerbatimChar"/>
        </w:rPr>
        <w:t xml:space="preserve">/festival/2026</w:t>
      </w:r>
      <w:r>
        <w:t xml:space="preserve"> </w:t>
      </w:r>
      <w:r>
        <w:t xml:space="preserve">301s to</w:t>
      </w:r>
      <w:r>
        <w:t xml:space="preserve"> </w:t>
      </w:r>
      <w:r>
        <w:rPr>
          <w:rStyle w:val="VerbatimChar"/>
        </w:rPr>
        <w:t xml:space="preserve">/events</w:t>
      </w:r>
      <w:r>
        <w:t xml:space="preserve"> </w:t>
      </w:r>
      <w:r>
        <w:t xml:space="preserve">or an archive page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open-actions-growth-team"/>
    <w:p>
      <w:pPr>
        <w:pStyle w:val="Heading2"/>
      </w:pPr>
      <w:r>
        <w:t xml:space="preserve">10. Open Actions — Growth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640"/>
        <w:gridCol w:w="2310"/>
        <w:gridCol w:w="198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#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Action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Owner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When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Create OG images (1200×630) for all Phase 1 pages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Design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Before launch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2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Write Homeroom FAQ answers for FAQPage schema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Copy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Before /give/monthly ships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3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Register on Charity Navigator + Candid (GuideStar)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Ops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Before launch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4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Claim Google Knowledge Panel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Marketing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1 post-launch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5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Initiate Wikidata entity entry for TCF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Marketing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Week 1 post-launch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6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Produce share asset cards (stat card, Founding Member badge)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Design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Before launch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7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Write and schedule Flodesk welcome email sequence (3 emails)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Copy + Ops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Before Keela goes live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8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Set up Clarity heatmaps on homepage, /why, /give/monthly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Engineering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1 post-launch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9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Submit sitemap to Google Search Console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Engineering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1 post-launch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10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Identify 5 backlink targets from education press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Marketing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Document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Location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Messaging &amp; copy (taglines, CTAs, banned words)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docs/MESSAGING-AND-COPY.md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Evidence &amp; research (DOIs for citation strategy)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docs/EVIDENCE-AND-RESEARCH.md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Site architecture (full URL inventory)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docs/WEBSITE-ARCHITECTURE.md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PRD (success metrics, feature list)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docs/planning/PRD.md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Frontend spec (integration specs for analytics)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docs/planning/FRONTEND-SPECIFICATION.md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Feature tickets (TICKET-080 analytics, TICKET-081 SEO)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docs/planning/FEATURE-TICKETS.md</w:t>
            </w:r>
          </w:p>
        </w:tc>
      </w:tr>
    </w:tbl>
    <w:bookmarkEnd w:id="50"/>
    <w:bookmarkEnd w:id="51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80" w:lineRule="exact"/>
    </w:pPr>
    <w:rPr>
      <w:rFonts w:ascii="Calibri" w:hAnsi="Calibri"/>
      <w:color w:val="3C3B43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480"/>
      <w:outlineLvl w:val="0"/>
      <w:pBdr>
        <w:bottom w:color="024E70" w:space="4" w:sz="8" w:val="single"/>
      </w:pBdr>
    </w:pPr>
    <w:rPr>
      <w:rFonts w:ascii="Calibri" w:asciiTheme="majorHAnsi" w:cstheme="majorBidi" w:eastAsiaTheme="majorEastAsia" w:hAnsi="Calibri" w:hAnsiTheme="majorHAnsi"/>
      <w:b/>
      <w:i w:val="0"/>
      <w:color w:val="024E70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60"/>
      <w:outlineLvl w:val="1"/>
    </w:pPr>
    <w:rPr>
      <w:rFonts w:ascii="Calibri" w:asciiTheme="majorHAnsi" w:cstheme="majorBidi" w:eastAsiaTheme="majorEastAsia" w:hAnsi="Calibri" w:hAnsiTheme="majorHAnsi"/>
      <w:b/>
      <w:i w:val="0"/>
      <w:color w:val="0080B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80"/>
      <w:outlineLvl w:val="2"/>
    </w:pPr>
    <w:rPr>
      <w:rFonts w:ascii="Calibri" w:cstheme="majorBidi" w:eastAsiaTheme="majorEastAsia" w:hAnsi="Calibri"/>
      <w:b/>
      <w:i w:val="0"/>
      <w:color w:val="1FAFC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200"/>
      <w:outlineLvl w:val="3"/>
    </w:pPr>
    <w:rPr>
      <w:rFonts w:ascii="Calibri" w:cstheme="majorBidi" w:eastAsiaTheme="majorEastAsia" w:hAnsi="Calibri"/>
      <w:b/>
      <w:i w:val="0"/>
      <w:iCs/>
      <w:color w:val="4FA98C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next w:val="BodyText"/>
    <w:uiPriority w:val="9"/>
    <w:unhideWhenUsed/>
    <w:qFormat/>
    <w:pPr>
      <w:spacing w:after="120" w:before="120"/>
      <w:ind w:firstLine="0" w:left="510" w:right="510"/>
    </w:pPr>
    <w:rPr>
      <w:rFonts w:ascii="Calibri" w:hAnsi="Calibri"/>
      <w:i/>
      <w:color w:val="0080B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Verbatim" w:type="paragraph">
    <w:name w:val="Verbatim"/>
    <w:basedOn w:val="Normal"/>
    <w:pPr>
      <w:spacing w:after="0" w:before="0"/>
    </w:pPr>
    <w:rPr>
      <w:rFonts w:ascii="Courier New" w:hAnsi="Courier New"/>
      <w:color w:val="1FAFC0"/>
      <w:sz w:val="18"/>
    </w:rPr>
  </w:style>
  <w:style w:customStyle="1" w:styleId="SourceCode" w:type="paragraph">
    <w:name w:val="Source Code"/>
    <w:basedOn w:val="Normal"/>
    <w:pPr>
      <w:spacing w:after="40" w:before="40"/>
      <w:ind w:left="283"/>
    </w:pPr>
    <w:rPr>
      <w:rFonts w:ascii="Courier New" w:hAnsi="Courier New"/>
      <w:color w:val="7DD3FC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2026-06-23T04:37:43Z</dcterms:created>
  <dcterms:modified xsi:type="dcterms:W3CDTF">2026-06-23T04:37:43Z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