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80" w:after="240"/>
        <w:shd w:val="clear" w:color="auto" w:fill="02374f"/>
      </w:pPr>
      <w:r>
        <w:rPr>
          <w:rFonts w:ascii="Calibri" w:hAnsi="Calibri"/>
          <w:sz w:val="18"/>
          <w:szCs w:val="18"/>
          <w:color w:val="1FAFC0"/>
          <w:i/>
        </w:rPr>
        <w:t xml:space="preserve">The Contentment Foundation · contentment.org</w:t>
      </w:r>
    </w:p>
    <w:p>
      <w:pPr>
        <w:spacing w:before="40" w:after="40"/>
        <w:shd w:val="clear" w:color="auto" w:fill="02374f"/>
      </w:pPr>
      <w:r>
        <w:rPr>
          <w:rFonts w:ascii="Calibri" w:hAnsi="Calibri"/>
          <w:sz w:val="18"/>
          <w:szCs w:val="18"/>
          <w:color w:val="FFFFFF"/>
        </w:rPr>
        <w:t xml:space="preserve">Prepared by: Somesh Bhardwaj · Sr. System Admin, Full Stack AI Engineer</w:t>
      </w:r>
    </w:p>
    <w:p>
      <w:pPr>
        <w:spacing w:before="40" w:after="80"/>
        <w:shd w:val="clear" w:color="auto" w:fill="02374f"/>
      </w:pPr>
      <w:r>
        <w:rPr>
          <w:rFonts w:ascii="Calibri" w:hAnsi="Calibri"/>
          <w:sz w:val="22"/>
          <w:szCs w:val="22"/>
          <w:color w:val="BFEEF5"/>
          <w:i/>
        </w:rPr>
        <w:t xml:space="preserve">Q2 2026 · Must be resolved before development starts</w:t>
      </w:r>
    </w:p>
    <w:p>
      <w:pPr>
        <w:spacing w:before="280" w:after="80"/>
        <w:shd w:val="clear" w:color="auto" w:fill="02374f"/>
      </w:pPr>
      <w:r>
        <w:rPr>
          <w:rFonts w:ascii="Calibri" w:hAnsi="Calibri"/>
          <w:sz w:val="40"/>
          <w:szCs w:val="40"/>
          <w:color w:val="FFFFFF"/>
          <w:b/>
        </w:rPr>
        <w:t xml:space="preserve">Open Technical Decisions</w:t>
      </w:r>
    </w:p>
    <w:p>
      <w:pPr>
        <w:spacing w:before="0" w:after="0"/>
        <w:shd w:val="clear" w:color="auto" w:fill="02374f"/>
      </w:pPr>
      <w:r>
        <w:rPr>
          <w:rFonts w:ascii="Calibri" w:hAnsi="Calibri"/>
          <w:sz w:val="12"/>
          <w:szCs w:val="12"/>
          <w:color w:val="FFFFFF"/>
        </w:rPr>
        <w:t xml:space="preserve"/>
      </w:r>
    </w:p>
    <w:bookmarkStart w:id="17" w:name="open-technical-decisions-contentment.org"/>
    <w:p>
      <w:pPr>
        <w:pStyle w:val="Heading1"/>
      </w:pPr>
      <w:r>
        <w:t xml:space="preserve">Open Technical Decisions — contentment.org</w:t>
      </w:r>
    </w:p>
    <w:p>
      <w:pPr>
        <w:pStyle w:val="BlockText"/>
        <w:spacing w:before="80" w:after="80"/>
        <w:ind w:left="454" w:right="454"/>
      </w:pPr>
      <w:r>
        <w:rPr>
          <w:b/>
          <w:bCs/>
          <w:i/>
          <w:color w:val="0080B0"/>
        </w:rPr>
        <w:t xml:space="preserve">Status: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Draft — recommendations recorded for 001–004; awaiting team sign-off</w:t>
      </w:r>
      <w:r>
        <w:rPr>
          <w:i/>
          <w:color w:val="0080B0"/>
        </w:rPr>
        <w:br/>
      </w:r>
      <w:r>
        <w:rPr>
          <w:b/>
          <w:bCs/>
          <w:i/>
          <w:color w:val="0080B0"/>
        </w:rPr>
        <w:t xml:space="preserve">Last updated: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June 2026</w:t>
      </w:r>
      <w:r>
        <w:rPr>
          <w:i/>
          <w:color w:val="0080B0"/>
        </w:rPr>
        <w:br/>
      </w:r>
      <w:r>
        <w:rPr>
          <w:b/>
          <w:bCs/>
          <w:i/>
          <w:color w:val="0080B0"/>
        </w:rPr>
        <w:t xml:space="preserve">Owner: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Somesh Bhardwaj · Sr. System Admin, Full Stack AI Engineer</w:t>
      </w:r>
      <w:r>
        <w:rPr>
          <w:i/>
          <w:color w:val="0080B0"/>
        </w:rPr>
        <w:br/>
      </w:r>
      <w:r>
        <w:rPr>
          <w:b/>
          <w:bCs/>
          <w:i/>
          <w:color w:val="0080B0"/>
        </w:rPr>
        <w:t xml:space="preserve">Location:</w:t>
      </w:r>
      <w:r>
        <w:rPr>
          <w:i/>
          <w:color w:val="0080B0"/>
        </w:rPr>
        <w:t xml:space="preserve"> </w:t>
      </w:r>
      <w:r>
        <w:rPr>
          <w:rStyle w:val="VerbatimChar"/>
          <w:i/>
          <w:color w:val="0080B0"/>
        </w:rPr>
        <w:t xml:space="preserve">docs/planning/DECISIONS.md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(also linked from</w:t>
      </w:r>
      <w:r>
        <w:rPr>
          <w:i/>
          <w:color w:val="0080B0"/>
        </w:rPr>
        <w:t xml:space="preserve"> </w:t>
      </w:r>
      <w:hyperlink r:id="rId9">
        <w:r>
          <w:rPr>
            <w:rStyle w:val="Hyperlink"/>
          </w:rPr>
          <w:t xml:space="preserve">Technical Architecture</w:t>
        </w:r>
      </w:hyperlink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§15)</w:t>
      </w:r>
    </w:p>
    <w:p>
      <w:pPr>
        <w:pStyle w:val="FirstParagraph"/>
      </w:pPr>
      <w:r>
        <w:t xml:space="preserve">Each decision below is a blocker for at least one TICKET.</w:t>
      </w:r>
      <w:r>
        <w:t xml:space="preserve"> </w:t>
      </w:r>
      <w:r>
        <w:rPr>
          <w:b/>
          <w:bCs/>
        </w:rPr>
        <w:t xml:space="preserve">Recommended options for 001–004 are recorded below</w:t>
      </w:r>
      <w:r>
        <w:t xml:space="preserve"> </w:t>
      </w:r>
      <w:r>
        <w:t xml:space="preserve">— check the box and add a date when the team formally signs off.</w:t>
      </w:r>
    </w:p>
    <w:p>
      <w:r>
        <w:pict>
          <v:rect style="width:0;height:1.5pt" o:hralign="center" o:hrstd="t" o:hr="t"/>
        </w:pict>
      </w:r>
    </w:p>
    <w:bookmarkStart w:id="10" w:name="decision-001-primary-analytics-tool"/>
    <w:p>
      <w:pPr>
        <w:pStyle w:val="Heading2"/>
      </w:pPr>
      <w:r>
        <w:t xml:space="preserve">DECISION-001 — Primary analytics tool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TICKET-080, TICKET-071 (cookie consent wording in /privacy)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394"/>
        <w:gridCol w:w="4052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Option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Description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Cookie banner needed?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Plausible only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(recommended)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Privacy-first, GDPR compliant out of the box, &lt; 1 KB script, no cookie storage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+ GA4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as primary, GA4 only if paid Google Ads are running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Yes — GA4 sets cookies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GA4 only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Full Google stack; needed for advanced audiences and Google Ads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b/>
          <w:bCs/>
        </w:rPr>
        <w:t xml:space="preserve">Plausible only</w:t>
      </w:r>
      <w:r>
        <w:t xml:space="preserve"> </w:t>
      </w:r>
      <w:r>
        <w:t xml:space="preserve">for Phase 1. Add GA4 only if paid Google Ads campaigns are confirmed for Festival 2026 or Homeroom launch.</w:t>
      </w:r>
      <w:r>
        <w:t xml:space="preserve"> </w:t>
      </w:r>
      <w:r>
        <w:rPr>
          <w:b/>
          <w:bCs/>
        </w:rPr>
        <w:t xml:space="preserve">Microsoft Clarity</w:t>
      </w:r>
      <w:r>
        <w:t xml:space="preserve"> </w:t>
      </w:r>
      <w:r>
        <w:t xml:space="preserve">(heatmaps/session replay) may run alongside Plausible for CRO — it is not the primary analytics tool; see DECISION-002 for privacy wording.</w:t>
      </w:r>
    </w:p>
    <w:p>
      <w:pPr>
        <w:pStyle w:val="BodyText"/>
      </w:pPr>
      <w:r>
        <w:rPr>
          <w:b/>
          <w:bCs/>
        </w:rPr>
        <w:t xml:space="preserve">Suggested choice:</w:t>
      </w:r>
      <w:r>
        <w:t xml:space="preserve"> </w:t>
      </w:r>
      <w:r>
        <w:t xml:space="preserve">Plausible only (add GA4 later if paid ads confirmed).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Signed off — option chosen:</w:t>
      </w:r>
      <w:r>
        <w:t xml:space="preserve"> </w:t>
      </w:r>
      <w:r>
        <w:rPr>
          <w:b/>
          <w:bCs/>
        </w:rPr>
        <w:t xml:space="preserve">Plausible only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decision-002-cookie-consent-mechanism"/>
    <w:p>
      <w:pPr>
        <w:pStyle w:val="Heading2"/>
      </w:pPr>
      <w:r>
        <w:t xml:space="preserve">DECISION-002 — Cookie consent mechanism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TICKET-071, TICKET-080</w:t>
      </w:r>
      <w:r>
        <w:br/>
      </w:r>
      <w:r>
        <w:rPr>
          <w:b/>
          <w:bCs/>
        </w:rPr>
        <w:t xml:space="preserve">Depends on:</w:t>
      </w:r>
      <w:r>
        <w:t xml:space="preserve"> </w:t>
      </w:r>
      <w:r>
        <w:t xml:space="preserve">DECISION-001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3226"/>
        <w:gridCol w:w="1760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Scenario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Required?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Tool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only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 — cookieless by default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 banner needed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GA4 added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Yes — GDPR, PECR (UK), ePrivacy (EU)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Cookiebot, Osano, or custom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&lt;dialog&gt;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Microsoft Clarity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 — Clarity uses session cookies but no personal data tracking by default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Check jurisdiction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Plausible only</w:t>
      </w:r>
      <w:r>
        <w:t xml:space="preserve"> </w:t>
      </w:r>
      <w:r>
        <w:t xml:space="preserve">(DECISION-001):</w:t>
      </w:r>
      <w:r>
        <w:t xml:space="preserve"> </w:t>
      </w:r>
      <w:r>
        <w:rPr>
          <w:b/>
          <w:bCs/>
        </w:rPr>
        <w:t xml:space="preserve">no cookie banner</w:t>
      </w:r>
      <w:r>
        <w:t xml:space="preserve">. Update</w:t>
      </w:r>
      <w:r>
        <w:t xml:space="preserve"> </w:t>
      </w:r>
      <w:r>
        <w:rPr>
          <w:rStyle w:val="VerbatimChar"/>
        </w:rPr>
        <w:t xml:space="preserve">/privacy</w:t>
      </w:r>
      <w:r>
        <w:t xml:space="preserve"> </w:t>
      </w:r>
      <w:r>
        <w:t xml:space="preserve">to disclose Plausible (cookieless) and, if Clarity is enabled, that Clarity uses first-party session cookies for heatmaps — no personal data sold. If GA4 is added later, adopt</w:t>
      </w:r>
      <w:r>
        <w:t xml:space="preserve"> </w:t>
      </w:r>
      <w:r>
        <w:rPr>
          <w:b/>
          <w:bCs/>
        </w:rPr>
        <w:t xml:space="preserve">Osano</w:t>
      </w:r>
      <w:r>
        <w:t xml:space="preserve"> </w:t>
      </w:r>
      <w:r>
        <w:t xml:space="preserve">(free tier).</w:t>
      </w:r>
    </w:p>
    <w:p>
      <w:pPr>
        <w:pStyle w:val="BodyText"/>
      </w:pPr>
      <w:r>
        <w:rPr>
          <w:b/>
          <w:bCs/>
        </w:rPr>
        <w:t xml:space="preserve">Suggested choice:</w:t>
      </w:r>
      <w:r>
        <w:t xml:space="preserve"> </w:t>
      </w:r>
      <w:r>
        <w:t xml:space="preserve">No banner for Phase 1; privacy policy disclosure only.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Signed off — option chosen:</w:t>
      </w:r>
      <w:r>
        <w:t xml:space="preserve"> </w:t>
      </w:r>
      <w:r>
        <w:rPr>
          <w:b/>
          <w:bCs/>
        </w:rPr>
        <w:t xml:space="preserve">No banner — privacy policy disclosure only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481b41fbfeacf5fe563d9b7c270f6f777e04373"/>
    <w:p>
      <w:pPr>
        <w:pStyle w:val="Heading2"/>
      </w:pPr>
      <w:r>
        <w:t xml:space="preserve">DECISION-003 — Transactional email provider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TICKET-041 (school form notification to partnerships team), AUTOMATION-BRIEF steps 4 and 6</w:t>
      </w:r>
    </w:p>
    <w:p>
      <w:pPr>
        <w:pStyle w:val="BodyText"/>
      </w:pPr>
      <w:r>
        <w:t xml:space="preserve">Flodesk is a marketing automation tool — it handles sequences and campaigns. It is not designed for real-time transactional emails triggered by server events (e.g. </w:t>
      </w:r>
      <w:r>
        <w:t xml:space="preserve">“you have a new school inquiry”</w:t>
      </w:r>
      <w:r>
        <w:t xml:space="preserve"> </w:t>
      </w:r>
      <w:r>
        <w:t xml:space="preserve">to an internal email address). A separate transactional provider is needed for:</w:t>
      </w:r>
    </w:p>
    <w:p>
      <w:pPr>
        <w:pStyle w:val="Compact"/>
        <w:numPr>
          <w:ilvl w:val="0"/>
          <w:numId w:val="1001"/>
        </w:numPr>
      </w:pPr>
      <w:r>
        <w:t xml:space="preserve">Internal notification: partnerships team email on school form submit</w:t>
      </w:r>
    </w:p>
    <w:p>
      <w:pPr>
        <w:pStyle w:val="Compact"/>
        <w:numPr>
          <w:ilvl w:val="0"/>
          <w:numId w:val="1001"/>
        </w:numPr>
      </w:pPr>
      <w:r>
        <w:t xml:space="preserve">Zoom join link delivery when RSVP does not go through Flodesk</w:t>
      </w:r>
    </w:p>
    <w:p>
      <w:pPr>
        <w:pStyle w:val="Compact"/>
        <w:numPr>
          <w:ilvl w:val="0"/>
          <w:numId w:val="1001"/>
        </w:numPr>
      </w:pPr>
      <w:r>
        <w:t xml:space="preserve">Magic-link auth emails (Phase 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630"/>
        <w:gridCol w:w="1320"/>
        <w:gridCol w:w="330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Option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Free tier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DX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Vercel-native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Resend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(recommended)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3,000 emails/month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Excellent; single API call, typed SDK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Yes — created for Vercel/Next.js ecosystem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AWS SES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62,000/month (if from EC2)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Low-level; requires domain verification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No; but works via SDK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Nodemailer via Gmail API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Free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Medium; OAuth required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SendGrid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100/day free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Good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Partial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install resend</w:t>
      </w:r>
      <w:r>
        <w:t xml:space="preserve">, one env var (</w:t>
      </w:r>
      <w:r>
        <w:rPr>
          <w:rStyle w:val="VerbatimChar"/>
        </w:rPr>
        <w:t xml:space="preserve">RESEND_API_KEY</w:t>
      </w:r>
      <w:r>
        <w:t xml:space="preserve">), sends email in 5 lines of TypeScript. Free tier covers TCF’s volume. Verified domain required (contentment.org).</w:t>
      </w:r>
    </w:p>
    <w:p>
      <w:pPr>
        <w:pStyle w:val="SourceCode"/>
        <w:spacing w:before="20" w:after="20"/>
        <w:ind w:left="283"/>
      </w:pP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// Example — school inquiry notification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ImportTok"/>
          <w:rFonts w:ascii="Courier New" w:hAnsi="Courier New"/>
          <w:b w:val="0"/>
          <w:color w:val="7DD3FC"/>
          <w:sz w:val="17"/>
        </w:rPr>
        <w:t xml:space="preserve">import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{ Resend } </w:t>
      </w:r>
      <w:r>
        <w:rPr>
          <w:rStyle w:val="ImportTok"/>
          <w:rFonts w:ascii="Courier New" w:hAnsi="Courier New"/>
          <w:b w:val="0"/>
          <w:color w:val="7DD3FC"/>
          <w:sz w:val="17"/>
        </w:rPr>
        <w:t xml:space="preserve">from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'resend'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const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resend 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new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Resend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</w:t>
      </w:r>
      <w:r>
        <w:rPr>
          <w:rStyle w:val="BuiltInTok"/>
          <w:rFonts w:ascii="Courier New" w:hAnsi="Courier New"/>
          <w:b w:val="0"/>
          <w:color w:val="7DD3FC"/>
          <w:sz w:val="17"/>
        </w:rPr>
        <w:t xml:space="preserve">process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env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RESEND_API_KEY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)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ControlFlowTok"/>
          <w:rFonts w:ascii="Courier New" w:hAnsi="Courier New"/>
          <w:b w:val="0"/>
          <w:color w:val="7DD3FC"/>
          <w:sz w:val="17"/>
        </w:rPr>
        <w:t xml:space="preserve">await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resend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emails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send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from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'site@contentment.org'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to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'partnerships@contentment.org'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subject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VerbatimStringTok"/>
          <w:rFonts w:ascii="Courier New" w:hAnsi="Courier New"/>
          <w:b w:val="0"/>
          <w:color w:val="7DD3FC"/>
          <w:sz w:val="17"/>
        </w:rPr>
        <w:t xml:space="preserve">`New school inquiry — </w:t>
      </w:r>
      <w:r>
        <w:rPr>
          <w:rStyle w:val="SpecialCharTok"/>
          <w:rFonts w:ascii="Courier New" w:hAnsi="Courier New"/>
          <w:b w:val="0"/>
          <w:color w:val="7DD3FC"/>
          <w:sz w:val="17"/>
        </w:rPr>
        <w:t xml:space="preserve">${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body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school_name</w:t>
      </w:r>
      <w:r>
        <w:rPr>
          <w:rStyle w:val="SpecialCharTok"/>
          <w:rFonts w:ascii="Courier New" w:hAnsi="Courier New"/>
          <w:b w:val="0"/>
          <w:color w:val="7DD3FC"/>
          <w:sz w:val="17"/>
        </w:rPr>
        <w:t xml:space="preserve">}</w:t>
      </w:r>
      <w:r>
        <w:rPr>
          <w:rStyle w:val="VerbatimStringTok"/>
          <w:rFonts w:ascii="Courier New" w:hAnsi="Courier New"/>
          <w:b w:val="0"/>
          <w:color w:val="7DD3FC"/>
          <w:sz w:val="17"/>
        </w:rPr>
        <w:t xml:space="preserve">`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html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VerbatimStringTok"/>
          <w:rFonts w:ascii="Courier New" w:hAnsi="Courier New"/>
          <w:b w:val="0"/>
          <w:color w:val="7DD3FC"/>
          <w:sz w:val="17"/>
        </w:rPr>
        <w:t xml:space="preserve">`&lt;p&gt;</w:t>
      </w:r>
      <w:r>
        <w:rPr>
          <w:rStyle w:val="SpecialCharTok"/>
          <w:rFonts w:ascii="Courier New" w:hAnsi="Courier New"/>
          <w:b w:val="0"/>
          <w:color w:val="7DD3FC"/>
          <w:sz w:val="17"/>
        </w:rPr>
        <w:t xml:space="preserve">${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body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contact_name</w:t>
      </w:r>
      <w:r>
        <w:rPr>
          <w:rStyle w:val="SpecialCharTok"/>
          <w:rFonts w:ascii="Courier New" w:hAnsi="Courier New"/>
          <w:b w:val="0"/>
          <w:color w:val="7DD3FC"/>
          <w:sz w:val="17"/>
        </w:rPr>
        <w:t xml:space="preserve">}</w:t>
      </w:r>
      <w:r>
        <w:rPr>
          <w:rStyle w:val="VerbatimStringTok"/>
          <w:rFonts w:ascii="Courier New" w:hAnsi="Courier New"/>
          <w:b w:val="0"/>
          <w:color w:val="7DD3FC"/>
          <w:sz w:val="17"/>
        </w:rPr>
        <w:t xml:space="preserve"> · </w:t>
      </w:r>
      <w:r>
        <w:rPr>
          <w:rStyle w:val="SpecialCharTok"/>
          <w:rFonts w:ascii="Courier New" w:hAnsi="Courier New"/>
          <w:b w:val="0"/>
          <w:color w:val="7DD3FC"/>
          <w:sz w:val="17"/>
        </w:rPr>
        <w:t xml:space="preserve">${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body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contact_email</w:t>
      </w:r>
      <w:r>
        <w:rPr>
          <w:rStyle w:val="SpecialCharTok"/>
          <w:rFonts w:ascii="Courier New" w:hAnsi="Courier New"/>
          <w:b w:val="0"/>
          <w:color w:val="7DD3FC"/>
          <w:sz w:val="17"/>
        </w:rPr>
        <w:t xml:space="preserve">}</w:t>
      </w:r>
      <w:r>
        <w:rPr>
          <w:rStyle w:val="VerbatimStringTok"/>
          <w:rFonts w:ascii="Courier New" w:hAnsi="Courier New"/>
          <w:b w:val="0"/>
          <w:color w:val="7DD3FC"/>
          <w:sz w:val="17"/>
        </w:rPr>
        <w:t xml:space="preserve"> · </w:t>
      </w:r>
      <w:r>
        <w:rPr>
          <w:rStyle w:val="SpecialCharTok"/>
          <w:rFonts w:ascii="Courier New" w:hAnsi="Courier New"/>
          <w:b w:val="0"/>
          <w:color w:val="7DD3FC"/>
          <w:sz w:val="17"/>
        </w:rPr>
        <w:t xml:space="preserve">${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body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country</w:t>
      </w:r>
      <w:r>
        <w:rPr>
          <w:rStyle w:val="SpecialCharTok"/>
          <w:rFonts w:ascii="Courier New" w:hAnsi="Courier New"/>
          <w:b w:val="0"/>
          <w:color w:val="7DD3FC"/>
          <w:sz w:val="17"/>
        </w:rPr>
        <w:t xml:space="preserve">}</w:t>
      </w:r>
      <w:r>
        <w:rPr>
          <w:rStyle w:val="VerbatimStringTok"/>
          <w:rFonts w:ascii="Courier New" w:hAnsi="Courier New"/>
          <w:b w:val="0"/>
          <w:color w:val="7DD3FC"/>
          <w:sz w:val="17"/>
        </w:rPr>
        <w:t xml:space="preserve">&lt;/p&gt;`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})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Env var to add:</w:t>
      </w:r>
      <w:r>
        <w:t xml:space="preserve"> </w:t>
      </w:r>
      <w:r>
        <w:rPr>
          <w:rStyle w:val="VerbatimChar"/>
        </w:rPr>
        <w:t xml:space="preserve">RESEND_API_KEY</w:t>
      </w:r>
      <w:r>
        <w:t xml:space="preserve"> </w:t>
      </w:r>
      <w:r>
        <w:t xml:space="preserve">(server-only, Vercel env)</w:t>
      </w:r>
    </w:p>
    <w:p>
      <w:pPr>
        <w:pStyle w:val="BodyText"/>
      </w:pPr>
      <w:r>
        <w:rPr>
          <w:b/>
          <w:bCs/>
        </w:rPr>
        <w:t xml:space="preserve">Suggested choice:</w:t>
      </w:r>
      <w:r>
        <w:t xml:space="preserve"> </w:t>
      </w:r>
      <w:r>
        <w:t xml:space="preserve">Resend.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Signed off — option chosen: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f2cee39091bd41287262b8c09ab38edf305e2fe"/>
    <w:p>
      <w:pPr>
        <w:pStyle w:val="Heading2"/>
      </w:pPr>
      <w:r>
        <w:t xml:space="preserve">DECISION-004 — Rate limiting implementation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TICKET-070 (</w:t>
      </w:r>
      <w:r>
        <w:rPr>
          <w:rStyle w:val="VerbatimChar"/>
        </w:rPr>
        <w:t xml:space="preserve">/api/newsletter</w:t>
      </w:r>
      <w:r>
        <w:t xml:space="preserve">), TICKET-041 (</w:t>
      </w:r>
      <w:r>
        <w:rPr>
          <w:rStyle w:val="VerbatimChar"/>
        </w:rPr>
        <w:t xml:space="preserve">/api/school-inquiry</w:t>
      </w:r>
      <w:r>
        <w:t xml:space="preserve">), AUTOMATION-BRIEF</w:t>
      </w:r>
      <w:r>
        <w:t xml:space="preserve"> </w:t>
      </w:r>
      <w:r>
        <w:rPr>
          <w:rStyle w:val="VerbatimChar"/>
        </w:rPr>
        <w:t xml:space="preserve">/api/event-rsvp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/api/keela-webhook</w:t>
      </w:r>
    </w:p>
    <w:p>
      <w:pPr>
        <w:pStyle w:val="BodyText"/>
      </w:pPr>
      <w:r>
        <w:t xml:space="preserve">All docs specify</w:t>
      </w:r>
      <w:r>
        <w:t xml:space="preserve"> </w:t>
      </w:r>
      <w:r>
        <w:t xml:space="preserve">“5 requests / 15 min / IP”</w:t>
      </w:r>
      <w:r>
        <w:t xml:space="preserve"> </w:t>
      </w:r>
      <w:r>
        <w:t xml:space="preserve">but no implementation is named.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2"/>
        <w:gridCol w:w="2018"/>
        <w:gridCol w:w="2640"/>
        <w:gridCol w:w="2018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Option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Persistence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Cold start safe?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Recommended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@upstash/ratelimit</w:t>
            </w: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+ Upstash Redis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(recommended)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Redis — survives cold starts and multi-region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Yes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In-memory Map in Vercel fn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Memory only — resets every cold start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✗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built-in (WAF)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Infrastructure level — no per-route config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Limited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Supplementary 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rStyle w:val="VerbatimChar"/>
        </w:rPr>
        <w:t xml:space="preserve">@upstash/ratelimit</w:t>
      </w:r>
      <w:r>
        <w:t xml:space="preserve"> </w:t>
      </w:r>
      <w:r>
        <w:t xml:space="preserve">with Upstash Redis free tier (10,000 requests/day). Standard pattern for Vercel serverless functions.</w:t>
      </w:r>
    </w:p>
    <w:p>
      <w:pPr>
        <w:pStyle w:val="SourceCode"/>
        <w:spacing w:before="20" w:after="20"/>
        <w:ind w:left="283"/>
      </w:pPr>
      <w:r>
        <w:rPr>
          <w:rStyle w:val="ImportTok"/>
          <w:rFonts w:ascii="Courier New" w:hAnsi="Courier New"/>
          <w:b w:val="0"/>
          <w:color w:val="7DD3FC"/>
          <w:sz w:val="17"/>
        </w:rPr>
        <w:t xml:space="preserve">import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{ Ratelimit } </w:t>
      </w:r>
      <w:r>
        <w:rPr>
          <w:rStyle w:val="ImportTok"/>
          <w:rFonts w:ascii="Courier New" w:hAnsi="Courier New"/>
          <w:b w:val="0"/>
          <w:color w:val="7DD3FC"/>
          <w:sz w:val="17"/>
        </w:rPr>
        <w:t xml:space="preserve">from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'@upstash/ratelimit'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ImportTok"/>
          <w:rFonts w:ascii="Courier New" w:hAnsi="Courier New"/>
          <w:b w:val="0"/>
          <w:color w:val="7DD3FC"/>
          <w:sz w:val="17"/>
        </w:rPr>
        <w:t xml:space="preserve">import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{ Redis } </w:t>
      </w:r>
      <w:r>
        <w:rPr>
          <w:rStyle w:val="ImportTok"/>
          <w:rFonts w:ascii="Courier New" w:hAnsi="Courier New"/>
          <w:b w:val="0"/>
          <w:color w:val="7DD3FC"/>
          <w:sz w:val="17"/>
        </w:rPr>
        <w:t xml:space="preserve">from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'@upstash/redis'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const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ratelimit 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new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Ratelimit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redis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Redis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fromEnv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()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limiter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Ratelimit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slidingWindow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</w:t>
      </w:r>
      <w:r>
        <w:rPr>
          <w:rStyle w:val="DecValTok"/>
          <w:rFonts w:ascii="Courier New" w:hAnsi="Courier New"/>
          <w:b w:val="0"/>
          <w:color w:val="7DD3FC"/>
          <w:sz w:val="17"/>
        </w:rPr>
        <w:t xml:space="preserve">5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'15 m'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)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analytics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true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})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// In handler: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const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ip 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request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headers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get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'x-forwarded-for'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) 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??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'127.0.0.1'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const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{ success } 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ControlFlowTok"/>
          <w:rFonts w:ascii="Courier New" w:hAnsi="Courier New"/>
          <w:b w:val="0"/>
          <w:color w:val="7DD3FC"/>
          <w:sz w:val="17"/>
        </w:rPr>
        <w:t xml:space="preserve">await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ratelimit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limit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(ip)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ControlFlowTok"/>
          <w:rFonts w:ascii="Courier New" w:hAnsi="Courier New"/>
          <w:b w:val="0"/>
          <w:color w:val="7DD3FC"/>
          <w:sz w:val="17"/>
        </w:rPr>
        <w:t xml:space="preserve">if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(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!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success) </w:t>
      </w:r>
      <w:r>
        <w:rPr>
          <w:rStyle w:val="ControlFlowTok"/>
          <w:rFonts w:ascii="Courier New" w:hAnsi="Courier New"/>
          <w:b w:val="0"/>
          <w:color w:val="7DD3FC"/>
          <w:sz w:val="17"/>
        </w:rPr>
        <w:t xml:space="preserve">return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new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Response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'Too many requests'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{ status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ecValTok"/>
          <w:rFonts w:ascii="Courier New" w:hAnsi="Courier New"/>
          <w:b w:val="0"/>
          <w:color w:val="7DD3FC"/>
          <w:sz w:val="17"/>
        </w:rPr>
        <w:t xml:space="preserve">429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})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Env vars to add:</w:t>
      </w:r>
    </w:p>
    <w:p>
      <w:pPr>
        <w:pStyle w:val="SourceCode"/>
        <w:spacing w:before="20" w:after="20"/>
        <w:ind w:left="283"/>
      </w:pP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UPSTASH_REDIS_REST_URL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from Upstash dashboard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UPSTASH_REDIS_REST_TOKEN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from Upstash dashboard (server-only)</w:t>
      </w:r>
    </w:p>
    <w:p>
      <w:pPr>
        <w:pStyle w:val="FirstParagraph"/>
      </w:pPr>
      <w:r>
        <w:rPr>
          <w:b/>
          <w:bCs/>
        </w:rPr>
        <w:t xml:space="preserve">Suggested choice:</w:t>
      </w:r>
      <w:r>
        <w:t xml:space="preserve"> </w:t>
      </w:r>
      <w:r>
        <w:rPr>
          <w:rStyle w:val="VerbatimChar"/>
        </w:rPr>
        <w:t xml:space="preserve">@upstash/ratelimit</w:t>
      </w:r>
      <w:r>
        <w:t xml:space="preserve"> </w:t>
      </w:r>
      <w:r>
        <w:t xml:space="preserve">+ Upstash Redis (free tier).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Signed off — option chosen:</w:t>
      </w:r>
      <w:r>
        <w:t xml:space="preserve"> </w:t>
      </w:r>
      <w:r>
        <w:rPr>
          <w:b/>
          <w:bCs/>
        </w:rPr>
        <w:t xml:space="preserve">@upstash/ratelimit</w:t>
      </w:r>
      <w:r>
        <w:rPr>
          <w:b/>
          <w:bCs/>
        </w:rPr>
        <w:t xml:space="preserve"> </w:t>
      </w:r>
      <w:r>
        <w:rPr>
          <w:b/>
          <w:bCs/>
        </w:rPr>
        <w:t xml:space="preserve">+ Upstash Redis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decision-005-image-optimization-approach"/>
    <w:p>
      <w:pPr>
        <w:pStyle w:val="Heading2"/>
      </w:pPr>
      <w:r>
        <w:t xml:space="preserve">DECISION-005 — Image optimization approach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TICKET-010 (homepage migration), TICKET-020 (/why), TICKET-031 (/stories)</w:t>
      </w:r>
      <w:r>
        <w:br/>
      </w:r>
      <w:r>
        <w:rPr>
          <w:b/>
          <w:bCs/>
        </w:rPr>
        <w:t xml:space="preserve">Affects:</w:t>
      </w:r>
      <w:r>
        <w:t xml:space="preserve"> </w:t>
      </w:r>
      <w:r>
        <w:t xml:space="preserve">LCP &lt; 2.5s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Option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Effort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Output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Astro</w:t>
            </w: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b/>
                <w:bCs/>
                <w:color w:val="3C3B43"/>
                <w:sz w:val="19"/>
              </w:rPr>
              <w:t xml:space="preserve">&lt;Image /&gt;</w:t>
            </w: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component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(recommended)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 — drop-in replacement for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&lt;img&gt;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Auto WebP + srcset + lazy + width/height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Manual pre-conversion to WebP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Medium — tooling required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Static WebP, no responsive srcset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image optimization (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/_vercel/image</w:t>
            </w:r>
            <w:r>
              <w:rPr>
                <w:rFonts w:ascii="Calibri" w:hAnsi="Calibri"/>
                <w:color w:val="3C3B43"/>
                <w:sz w:val="19"/>
              </w:rPr>
              <w:t xml:space="preserve">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Zero code change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On-demand transform, adds latency on first load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Use Astro’s built-in</w:t>
      </w:r>
      <w:r>
        <w:t xml:space="preserve"> </w:t>
      </w:r>
      <w:r>
        <w:rPr>
          <w:rStyle w:val="VerbatimChar"/>
        </w:rPr>
        <w:t xml:space="preserve">&lt;Image /&gt;</w:t>
      </w:r>
      <w:r>
        <w:t xml:space="preserve"> </w:t>
      </w:r>
      <w:r>
        <w:t xml:space="preserve">component from</w:t>
      </w:r>
      <w:r>
        <w:t xml:space="preserve"> </w:t>
      </w:r>
      <w:r>
        <w:rPr>
          <w:rStyle w:val="VerbatimChar"/>
        </w:rPr>
        <w:t xml:space="preserve">astro:assets</w:t>
      </w:r>
      <w:r>
        <w:t xml:space="preserve">. Requires</w:t>
      </w:r>
      <w:r>
        <w:t xml:space="preserve"> </w:t>
      </w:r>
      <w:r>
        <w:rPr>
          <w:rStyle w:val="VerbatimChar"/>
        </w:rPr>
        <w:t xml:space="preserve">@astrojs/vercel</w:t>
      </w:r>
      <w:r>
        <w:t xml:space="preserve"> </w:t>
      </w:r>
      <w:r>
        <w:t xml:space="preserve">adapter and Sharp integration in</w:t>
      </w:r>
      <w:r>
        <w:t xml:space="preserve"> </w:t>
      </w:r>
      <w:r>
        <w:rPr>
          <w:rStyle w:val="VerbatimChar"/>
        </w:rPr>
        <w:t xml:space="preserve">astro.config.mjs</w:t>
      </w:r>
      <w:r>
        <w:t xml:space="preserve">. All hero images, educator photos, and OG images go through this at build time.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Resolved — option chosen: _________________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a514edd0691a61a6cc1bb8e880514114051395c"/>
    <w:p>
      <w:pPr>
        <w:pStyle w:val="Heading2"/>
      </w:pPr>
      <w:r>
        <w:t xml:space="preserve">DECISION-006 — Error monitoring (Sentry or skip)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Observability (TECHNICAL-ARCHITECTURE.md §9)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Low for Phase 1; Medium for Phase 1.5 when custom APIs are live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Option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Cost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When to add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Skip Phase 1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Free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If Slack #errors alerts are sufficient coverage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Sentry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Free tier (5,000 errors/month)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Add at Phase 1.5 when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/api/*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routes are handling real traffic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function logs only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Free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Sufficient if team is watching logs actively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Skip for Phase 1. Add Sentry at Phase 1.5. When added:</w:t>
      </w:r>
      <w:r>
        <w:t xml:space="preserve"> </w:t>
      </w:r>
      <w:r>
        <w:rPr>
          <w:rStyle w:val="VerbatimChar"/>
        </w:rPr>
        <w:t xml:space="preserve">SENTRY_DSN</w:t>
      </w:r>
      <w:r>
        <w:t xml:space="preserve"> </w:t>
      </w:r>
      <w:r>
        <w:t xml:space="preserve">env var,</w:t>
      </w:r>
      <w:r>
        <w:t xml:space="preserve"> </w:t>
      </w:r>
      <w:r>
        <w:rPr>
          <w:rStyle w:val="VerbatimChar"/>
        </w:rPr>
        <w:t xml:space="preserve">@sentry/astro</w:t>
      </w:r>
      <w:r>
        <w:t xml:space="preserve"> </w:t>
      </w:r>
      <w:r>
        <w:t xml:space="preserve">integration.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Resolved — option chosen: _________________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decision-log"/>
    <w:p>
      <w:pPr>
        <w:pStyle w:val="Heading2"/>
      </w:pPr>
      <w:r>
        <w:t xml:space="preserve">Decision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2262"/>
        <w:gridCol w:w="1810"/>
        <w:gridCol w:w="1357"/>
        <w:gridCol w:w="1810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#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Decision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Status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Date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Chosen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001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Primary analytics tool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Recommended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only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002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Cookie consent mechanism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Recommended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 banner — privacy policy disclosure only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003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Transactional email provider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Recommended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Resend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004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Rate limiting implementation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Recommended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@upstash/ratelimit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Upstash Redis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005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Image optimization approach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Open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006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Error monitoring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Open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</w:tr>
    </w:tbl>
    <w:bookmarkEnd w:id="16"/>
    <w:bookmarkEnd w:id="17"/>
    <w:sectPr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80" w:lineRule="exact"/>
    </w:pPr>
    <w:rPr>
      <w:rFonts w:ascii="Calibri" w:hAnsi="Calibri"/>
      <w:color w:val="3C3B43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480"/>
      <w:outlineLvl w:val="0"/>
      <w:pBdr>
        <w:bottom w:color="024E70" w:space="4" w:sz="8" w:val="single"/>
      </w:pBdr>
    </w:pPr>
    <w:rPr>
      <w:rFonts w:ascii="Calibri" w:asciiTheme="majorHAnsi" w:cstheme="majorBidi" w:eastAsiaTheme="majorEastAsia" w:hAnsi="Calibri" w:hAnsiTheme="majorHAnsi"/>
      <w:b/>
      <w:i w:val="0"/>
      <w:color w:val="024E70"/>
      <w:sz w:val="4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360"/>
      <w:outlineLvl w:val="1"/>
    </w:pPr>
    <w:rPr>
      <w:rFonts w:ascii="Calibri" w:asciiTheme="majorHAnsi" w:cstheme="majorBidi" w:eastAsiaTheme="majorEastAsia" w:hAnsi="Calibri" w:hAnsiTheme="majorHAnsi"/>
      <w:b/>
      <w:i w:val="0"/>
      <w:color w:val="0080B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80"/>
      <w:outlineLvl w:val="2"/>
    </w:pPr>
    <w:rPr>
      <w:rFonts w:ascii="Calibri" w:cstheme="majorBidi" w:eastAsiaTheme="majorEastAsia" w:hAnsi="Calibri"/>
      <w:b/>
      <w:i w:val="0"/>
      <w:color w:val="1FAFC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60" w:before="200"/>
      <w:outlineLvl w:val="3"/>
    </w:pPr>
    <w:rPr>
      <w:rFonts w:ascii="Calibri" w:cstheme="majorBidi" w:eastAsiaTheme="majorEastAsia" w:hAnsi="Calibri"/>
      <w:b/>
      <w:i w:val="0"/>
      <w:iCs/>
      <w:color w:val="4FA98C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next w:val="BodyText"/>
    <w:uiPriority w:val="9"/>
    <w:unhideWhenUsed/>
    <w:qFormat/>
    <w:pPr>
      <w:spacing w:after="120" w:before="120"/>
      <w:ind w:firstLine="0" w:left="510" w:right="510"/>
    </w:pPr>
    <w:rPr>
      <w:rFonts w:ascii="Calibri" w:hAnsi="Calibri"/>
      <w:i/>
      <w:color w:val="0080B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Verbatim" w:type="paragraph">
    <w:name w:val="Verbatim"/>
    <w:basedOn w:val="Normal"/>
    <w:pPr>
      <w:spacing w:after="0" w:before="0"/>
    </w:pPr>
    <w:rPr>
      <w:rFonts w:ascii="Courier New" w:hAnsi="Courier New"/>
      <w:color w:val="1FAFC0"/>
      <w:sz w:val="18"/>
    </w:rPr>
  </w:style>
  <w:style w:customStyle="1" w:styleId="SourceCode" w:type="paragraph">
    <w:name w:val="Source Code"/>
    <w:basedOn w:val="Normal"/>
    <w:pPr>
      <w:spacing w:after="40" w:before="40"/>
      <w:ind w:left="283"/>
    </w:pPr>
    <w:rPr>
      <w:rFonts w:ascii="Courier New" w:hAnsi="Courier New"/>
      <w:color w:val="7DD3FC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./TECHNICAL-ARCHITECTURE.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./TECHNICAL-ARCHITECTUR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2026-06-23T03:16:07Z</dcterms:created>
  <dcterms:modified xsi:type="dcterms:W3CDTF">2026-06-23T03:16:07Z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