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Refund policy</w:t>
      </w:r>
    </w:p>
    <w:p>
      <w:pPr/>
      <w:r>
        <w:t xml:space="preserve">Refunds above the regional limit are approved by finance before they are paid.</w:t>
      </w:r>
      <w:r>
        <w:rPr>
          <w:rStyle w:val="FootnoteReference"/>
        </w:rPr>
        <w:footnoteReference w:id="1"/>
      </w:r>
    </w:p>
    <w:p>
      <w:pPr/>
      <w:r>
        <w:t xml:space="preserve">Everything below the limit is approved by the support lead on duty.</w:t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limit is set each quarter and recorded in the quarterly reconciliation ledger.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FootnoteText">
    <w:name w:val="footnote text"/>
  </w:style>
  <w:style w:type="character" w:styleId="FootnoteReference">
    <w:name w:val="footnote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