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 w:before="32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38"/>
          <w:szCs w:val="38"/>
        </w:rPr>
        <w:t xml:space="preserve">효성ITX 신규 슬로건 리서치 브리프</w:t>
      </w:r>
    </w:p>
    <w:p>
      <w:pPr>
        <w:spacing w:after="2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2"/>
          <w:szCs w:val="22"/>
        </w:rPr>
        <w:t xml:space="preserve">기업 분석 · 특수 관계 분석 · 사업 분석 · 기업 공시 분석</w:t>
      </w:r>
    </w:p>
    <w:p>
      <w:pPr>
        <w:spacing w:after="6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18"/>
          <w:szCs w:val="18"/>
        </w:rPr>
        <w:t xml:space="preserve">자료 기준일: 2026-06-25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F2A4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권고 슬로건</w:t>
            </w:r>
          </w:p>
          <w:p>
            <w:pPr>
              <w:spacing w:after="4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34"/>
                <w:szCs w:val="34"/>
              </w:rPr>
              <w:t xml:space="preserve">고객 접점을 지능으로 바꾸다</w:t>
            </w:r>
          </w:p>
          <w:p>
            <w:pPr>
              <w:spacing w:after="4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21"/>
                <w:szCs w:val="21"/>
              </w:rPr>
              <w:t xml:space="preserve">컨택센터 운영의 현재 실체와 AI·클라우드 전환의 미래 방향을 한 문장에 묶는 표현입니다.</w:t>
            </w:r>
          </w:p>
        </w:tc>
      </w:tr>
    </w:tbl>
    <w:p>
      <w:pPr>
        <w:pStyle w:val="Heading1"/>
        <w:spacing w:after="160" w:before="26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30"/>
          <w:szCs w:val="30"/>
        </w:rPr>
        <w:t xml:space="preserve">1. 의사결정 요약</w:t>
      </w:r>
    </w:p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효성ITX는 단순한 콜센터 운영사가 아니라 고객 접점을 운영하고, 그 접점에 IT 서비스, 클라우드, AI, ITO 역량을 붙이는 회사로 읽어야 합니다. 2026년 1분기 연결 매출에서 컨택센터 서비스가 77.85%로 가장 크지만, 공식 사업 설명과 공시에는 AICC, RingCloud, xtrmSolution, Smart Factory, IDC, Display Solution이 함께 제시됩니다.</w:t>
      </w:r>
    </w:p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추천 방향은 고객 접점을 전면에 두고 지능으로 다음 단계를 설명하는 방식입니다. 대중에게는 무엇을 하는 회사인지 바로 잡히고, 기업 고객에게는 운영 규모와 AI 전환 가능성이 같이 전달됩니다.</w:t>
      </w:r>
    </w:p>
    <w:p>
      <w:pPr>
        <w:pStyle w:val="Heading1"/>
        <w:spacing w:after="160" w:before="26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30"/>
          <w:szCs w:val="30"/>
        </w:rPr>
        <w:t xml:space="preserve">2. 기업 분석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600"/>
        <w:gridCol w:w="3660"/>
      </w:tblGrid>
      <w:tr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22"/>
                <w:szCs w:val="22"/>
              </w:rPr>
              <w:t xml:space="preserve">항목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22"/>
                <w:szCs w:val="22"/>
              </w:rPr>
              <w:t xml:space="preserve">확인 내용</w:t>
            </w:r>
          </w:p>
        </w:tc>
        <w:tc>
          <w:tcPr>
            <w:tcW w:type="dxa" w:w="36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22"/>
                <w:szCs w:val="22"/>
              </w:rPr>
              <w:t xml:space="preserve">슬로건 시사점</w:t>
            </w:r>
          </w:p>
        </w:tc>
      </w:tr>
      <w:tr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설립·상장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1997년 설립, 2007년 KOSPI 상장</w:t>
            </w:r>
          </w:p>
        </w:tc>
        <w:tc>
          <w:tcPr>
            <w:tcW w:type="dxa" w:w="36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오래 운영한 회사라는 신뢰 기반을 확보</w:t>
            </w:r>
          </w:p>
        </w:tc>
      </w:tr>
      <w:tr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공식 사업 축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Contact Center, IT Service, Display Solution</w:t>
            </w:r>
          </w:p>
        </w:tc>
        <w:tc>
          <w:tcPr>
            <w:tcW w:type="dxa" w:w="36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콜센터보다 넓은 고객 접점 운영사로 포지셔닝</w:t>
            </w:r>
          </w:p>
        </w:tc>
      </w:tr>
      <w:tr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최근 연혁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H3C·상포테크놀로지 총판, 특허 3건, ISO 45001</w:t>
            </w:r>
          </w:p>
        </w:tc>
        <w:tc>
          <w:tcPr>
            <w:tcW w:type="dxa" w:w="36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기술·품질·안전 인증을 메시지 근거로 활용</w:t>
            </w:r>
          </w:p>
        </w:tc>
      </w:tr>
    </w:tbl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효성ITX는 기업과 고객의 커뮤니케이션 채널을 관리하는 Contact Center 사업, 기업 IT 환경을 지원하는 IT Service 사업, 영상기기 판매·설치 기반의 Display Solution 사업을 전개합니다. 새 슬로건은 이 세 축을 하나로 묶는 상위 언어가 필요합니다.</w:t>
      </w:r>
    </w:p>
    <w:p>
      <w:pPr>
        <w:pStyle w:val="Heading1"/>
        <w:spacing w:after="160" w:before="26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30"/>
          <w:szCs w:val="30"/>
        </w:rPr>
        <w:t xml:space="preserve">3. 특수 관계 분석</w:t>
      </w:r>
    </w:p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2026년 1분기보고서 기준 최대주주 및 특수관계인의 총발행주식수 기준 보유 현황은 조현준 35.26%, (주)효성 보통주 28.26%, (주)효성 우선주 7.00%, 효성아이티엑스 자기주식 4.18%, 남경환 0.20%입니다. 의결권 있는 보통주 기준 5% 이상 주주는 조현준 37.91%, (주)효성 30.39%입니다.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100"/>
        <w:gridCol w:w="3760"/>
      </w:tblGrid>
      <w:tr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22"/>
                <w:szCs w:val="22"/>
              </w:rPr>
              <w:t xml:space="preserve">구분</w:t>
            </w:r>
          </w:p>
        </w:tc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22"/>
                <w:szCs w:val="22"/>
              </w:rPr>
              <w:t xml:space="preserve">수치</w:t>
            </w:r>
          </w:p>
        </w:tc>
        <w:tc>
          <w:tcPr>
            <w:tcW w:type="dxa" w:w="3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22"/>
                <w:szCs w:val="22"/>
              </w:rPr>
              <w:t xml:space="preserve">해석</w:t>
            </w:r>
          </w:p>
        </w:tc>
      </w:tr>
      <w:tr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효성 기업집단 계열회사</w:t>
            </w:r>
          </w:p>
        </w:tc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상장 11개, 비상장 137개, 총 148개</w:t>
            </w:r>
          </w:p>
        </w:tc>
        <w:tc>
          <w:tcPr>
            <w:tcW w:type="dxa" w:w="3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그룹 레퍼런스와 대형 운영 경험을 설명할 수 있음</w:t>
            </w:r>
          </w:p>
        </w:tc>
      </w:tr>
      <w:tr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국내 계열사 매출</w:t>
            </w:r>
          </w:p>
        </w:tc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397.05억 원, 전체 매출 대비 7.66%</w:t>
            </w:r>
          </w:p>
        </w:tc>
        <w:tc>
          <w:tcPr>
            <w:tcW w:type="dxa" w:w="3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그룹 내부 매출은 신뢰 근거이나 외부 확장 메시지가 필요</w:t>
            </w:r>
          </w:p>
        </w:tc>
      </w:tr>
      <w:tr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국내 계열사 매입</w:t>
            </w:r>
          </w:p>
        </w:tc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80.21억 원, 매입액 대비 1.71%</w:t>
            </w:r>
          </w:p>
        </w:tc>
        <w:tc>
          <w:tcPr>
            <w:tcW w:type="dxa" w:w="3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특수관계 거래 노출은 제한적으로 읽힘</w:t>
            </w:r>
          </w:p>
        </w:tc>
      </w:tr>
    </w:tbl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이 구조는 효성그룹 내부 레퍼런스를 신뢰 근거로 쓰되, 대외 슬로건에서는 그룹 내부 IT 회사로만 보이지 않게 해야 한다는 점을 알려줍니다.</w:t>
      </w:r>
    </w:p>
    <w:p>
      <w:pPr>
        <w:pStyle w:val="Heading1"/>
        <w:spacing w:after="160" w:before="26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30"/>
          <w:szCs w:val="30"/>
        </w:rPr>
        <w:t xml:space="preserve">4. 사업 분석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3000"/>
        <w:gridCol w:w="2360"/>
      </w:tblGrid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22"/>
                <w:szCs w:val="22"/>
              </w:rPr>
              <w:t xml:space="preserve">사업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22"/>
                <w:szCs w:val="22"/>
              </w:rPr>
              <w:t xml:space="preserve">2026년 1분기 매출</w:t>
            </w:r>
          </w:p>
        </w:tc>
        <w:tc>
          <w:tcPr>
            <w:tcW w:type="dxa" w:w="2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22"/>
                <w:szCs w:val="22"/>
              </w:rPr>
              <w:t xml:space="preserve">비중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컨택센터 서비스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101,426백만 원</w:t>
            </w:r>
          </w:p>
        </w:tc>
        <w:tc>
          <w:tcPr>
            <w:tcW w:type="dxa" w:w="2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77.85%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IT 솔루션 및 서비스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9,401백만 원</w:t>
            </w:r>
          </w:p>
        </w:tc>
        <w:tc>
          <w:tcPr>
            <w:tcW w:type="dxa" w:w="2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7.21%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ITO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7,072백만 원</w:t>
            </w:r>
          </w:p>
        </w:tc>
        <w:tc>
          <w:tcPr>
            <w:tcW w:type="dxa" w:w="2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5.43%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Display Solution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6,987백만 원</w:t>
            </w:r>
          </w:p>
        </w:tc>
        <w:tc>
          <w:tcPr>
            <w:tcW w:type="dxa" w:w="2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5.36%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IDC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3,022백만 원</w:t>
            </w:r>
          </w:p>
        </w:tc>
        <w:tc>
          <w:tcPr>
            <w:tcW w:type="dxa" w:w="2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2.32%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AI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2,177백만 원</w:t>
            </w:r>
          </w:p>
        </w:tc>
        <w:tc>
          <w:tcPr>
            <w:tcW w:type="dxa" w:w="2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1.67%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기타 서비스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204백만 원</w:t>
            </w:r>
          </w:p>
        </w:tc>
        <w:tc>
          <w:tcPr>
            <w:tcW w:type="dxa" w:w="2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0.16%</w:t>
            </w:r>
          </w:p>
        </w:tc>
      </w:tr>
    </w:tbl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2026년 1분기 연결 매출은 130,289백만 원입니다. 2025년 연결 매출은 519,014백만 원, 영업이익은 18,959백만 원, 연결당기순이익은 15,453백만 원입니다.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3000"/>
        <w:gridCol w:w="2360"/>
      </w:tblGrid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22"/>
                <w:szCs w:val="22"/>
              </w:rPr>
              <w:t xml:space="preserve">사업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22"/>
                <w:szCs w:val="22"/>
              </w:rPr>
              <w:t xml:space="preserve">2025년 매출</w:t>
            </w:r>
          </w:p>
        </w:tc>
        <w:tc>
          <w:tcPr>
            <w:tcW w:type="dxa" w:w="2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22"/>
                <w:szCs w:val="22"/>
              </w:rPr>
              <w:t xml:space="preserve">비중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컨택센터 서비스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390,073백만 원</w:t>
            </w:r>
          </w:p>
        </w:tc>
        <w:tc>
          <w:tcPr>
            <w:tcW w:type="dxa" w:w="2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75.16%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IT 솔루션 및 서비스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41,042백만 원</w:t>
            </w:r>
          </w:p>
        </w:tc>
        <w:tc>
          <w:tcPr>
            <w:tcW w:type="dxa" w:w="2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7.91%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Display Solution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32,276백만 원</w:t>
            </w:r>
          </w:p>
        </w:tc>
        <w:tc>
          <w:tcPr>
            <w:tcW w:type="dxa" w:w="2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6.22%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ITO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25,855백만 원</w:t>
            </w:r>
          </w:p>
        </w:tc>
        <w:tc>
          <w:tcPr>
            <w:tcW w:type="dxa" w:w="2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4.98%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IDC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17,356백만 원</w:t>
            </w:r>
          </w:p>
        </w:tc>
        <w:tc>
          <w:tcPr>
            <w:tcW w:type="dxa" w:w="2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3.34%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AI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11,501백만 원</w:t>
            </w:r>
          </w:p>
        </w:tc>
        <w:tc>
          <w:tcPr>
            <w:tcW w:type="dxa" w:w="2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2.22%</w:t>
            </w:r>
          </w:p>
        </w:tc>
      </w:tr>
      <w:tr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기타 서비스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911백만 원</w:t>
            </w:r>
          </w:p>
        </w:tc>
        <w:tc>
          <w:tcPr>
            <w:tcW w:type="dxa" w:w="2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0.17%</w:t>
            </w:r>
          </w:p>
        </w:tc>
      </w:tr>
    </w:tbl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슬로건은 컨택센터만 말하면 좁고, AI만 말하면 현재 매출 구조와 떨어집니다. 고객 접점은 현재 사업의 크기를 담고, 지능은 AI·클라우드·ITO·IDC의 확장성을 담습니다.</w:t>
      </w:r>
    </w:p>
    <w:p>
      <w:pPr>
        <w:pStyle w:val="Heading1"/>
        <w:spacing w:after="160" w:before="26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30"/>
          <w:szCs w:val="30"/>
        </w:rPr>
        <w:t xml:space="preserve">5. 기업 공시 분석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400"/>
        <w:gridCol w:w="4060"/>
      </w:tblGrid>
      <w:t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22"/>
                <w:szCs w:val="22"/>
              </w:rPr>
              <w:t xml:space="preserve">일자</w:t>
            </w:r>
          </w:p>
        </w:tc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22"/>
                <w:szCs w:val="22"/>
              </w:rPr>
              <w:t xml:space="preserve">공시</w:t>
            </w:r>
          </w:p>
        </w:tc>
        <w:tc>
          <w:tcPr>
            <w:tcW w:type="dxa" w:w="4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22"/>
                <w:szCs w:val="22"/>
              </w:rPr>
              <w:t xml:space="preserve">의미</w:t>
            </w:r>
          </w:p>
        </w:tc>
      </w:tr>
      <w:t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2026-06-15</w:t>
            </w:r>
          </w:p>
        </w:tc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주주명부폐쇄기간또는기준일설정</w:t>
            </w:r>
          </w:p>
        </w:tc>
        <w:tc>
          <w:tcPr>
            <w:tcW w:type="dxa" w:w="4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정기적인 주주·배당 일정 관리</w:t>
            </w:r>
          </w:p>
        </w:tc>
      </w:tr>
      <w:t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2026-06-01</w:t>
            </w:r>
          </w:p>
        </w:tc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기업지배구조보고서공시</w:t>
            </w:r>
          </w:p>
        </w:tc>
        <w:tc>
          <w:tcPr>
            <w:tcW w:type="dxa" w:w="4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지배구조 정보 공개</w:t>
            </w:r>
          </w:p>
        </w:tc>
      </w:tr>
      <w:t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2026-06-01</w:t>
            </w:r>
          </w:p>
        </w:tc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대규모기업집단현황공시</w:t>
            </w:r>
          </w:p>
        </w:tc>
        <w:tc>
          <w:tcPr>
            <w:tcW w:type="dxa" w:w="4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계열·특수관계 거래 투명성</w:t>
            </w:r>
          </w:p>
        </w:tc>
      </w:tr>
      <w:t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2026-05-15</w:t>
            </w:r>
          </w:p>
        </w:tc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분기보고서 (2026.03)</w:t>
            </w:r>
          </w:p>
        </w:tc>
        <w:tc>
          <w:tcPr>
            <w:tcW w:type="dxa" w:w="4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최신 사업·재무 구조 확인</w:t>
            </w:r>
          </w:p>
        </w:tc>
      </w:tr>
      <w:t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2026-03-27</w:t>
            </w:r>
          </w:p>
        </w:tc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기업가치제고계획</w:t>
            </w:r>
          </w:p>
        </w:tc>
        <w:tc>
          <w:tcPr>
            <w:tcW w:type="dxa" w:w="4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2026년 배당성향 50% 이상 목표</w:t>
            </w:r>
          </w:p>
        </w:tc>
      </w:tr>
      <w:tr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2026-03-18</w:t>
            </w:r>
          </w:p>
        </w:tc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사업보고서 (2025.12)</w:t>
            </w:r>
          </w:p>
        </w:tc>
        <w:tc>
          <w:tcPr>
            <w:tcW w:type="dxa" w:w="4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연간 사업·재무·주주 정보 기준점</w:t>
            </w:r>
          </w:p>
        </w:tc>
      </w:tr>
    </w:tbl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공식 주식정보 페이지의 배당 현황은 2025년 주당 배당금 750원, 연결 현금배당성향 57.82%, 시가배당률 5.74%를 제시합니다. 공시는 안정적 운영 수익, 높은 배당성향, 그룹 내 거래와 외부 고객 기반이 공존하는 회사라는 이미지를 만듭니다.</w:t>
      </w:r>
    </w:p>
    <w:p>
      <w:pPr>
        <w:pStyle w:val="Heading1"/>
        <w:spacing w:after="160" w:before="26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30"/>
          <w:szCs w:val="30"/>
        </w:rPr>
        <w:t xml:space="preserve">6. 슬로건 전략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대중이 효성ITX의 일을 바로 이해해야 합니다.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컨택센터 중심의 현재 실체를 숨기지 않아야 합니다.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AI·클라우드·ITO 확장을 미래형 과장으로만 보이게 해서는 안 됩니다.</w:t>
      </w:r>
    </w:p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권고 슬로건인 고객 접점을 지능으로 바꾸다는 효성ITX의 현재와 미래를 한 문장에 묶습니다. 고객 접점은 컨택센터 서비스, Display Solution, ITO 운영 현장을 포괄합니다. 지능은 AICC, RingCloud, xtrmSolution, Smart Factory, IDC·클라우드 기반 운영을 설명합니다.</w:t>
      </w:r>
    </w:p>
    <w:p>
      <w:pPr>
        <w:pStyle w:val="Heading1"/>
        <w:spacing w:after="160" w:before="26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30"/>
          <w:szCs w:val="30"/>
        </w:rPr>
        <w:t xml:space="preserve">7. 후보 슬로건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300"/>
        <w:gridCol w:w="2100"/>
        <w:gridCol w:w="3060"/>
      </w:tblGrid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22"/>
                <w:szCs w:val="22"/>
              </w:rPr>
              <w:t xml:space="preserve">순위</w:t>
            </w:r>
          </w:p>
        </w:tc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22"/>
                <w:szCs w:val="22"/>
              </w:rPr>
              <w:t xml:space="preserve">슬로건</w:t>
            </w:r>
          </w:p>
        </w:tc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22"/>
                <w:szCs w:val="22"/>
              </w:rPr>
              <w:t xml:space="preserve">활용 장면</w:t>
            </w:r>
          </w:p>
        </w:tc>
        <w:tc>
          <w:tcPr>
            <w:tcW w:type="dxa" w:w="3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22"/>
                <w:szCs w:val="22"/>
              </w:rPr>
              <w:t xml:space="preserve">평가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1</w:t>
            </w:r>
          </w:p>
        </w:tc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고객 접점을 지능으로 바꾸다</w:t>
            </w:r>
          </w:p>
        </w:tc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대표 슬로건</w:t>
            </w:r>
          </w:p>
        </w:tc>
        <w:tc>
          <w:tcPr>
            <w:tcW w:type="dxa" w:w="3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가장 간결하고 사업 구조와 일치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2</w:t>
            </w:r>
          </w:p>
        </w:tc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모든 고객 접점에 지능을 더하다</w:t>
            </w:r>
          </w:p>
        </w:tc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기업 브로슈어·IR</w:t>
            </w:r>
          </w:p>
        </w:tc>
        <w:tc>
          <w:tcPr>
            <w:tcW w:type="dxa" w:w="3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설명력이 높고 안정적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3</w:t>
            </w:r>
          </w:p>
        </w:tc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사람의 응대에 기술의 답을 더하다</w:t>
            </w:r>
          </w:p>
        </w:tc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컨택센터 캠페인</w:t>
            </w:r>
          </w:p>
        </w:tc>
        <w:tc>
          <w:tcPr>
            <w:tcW w:type="dxa" w:w="3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컨택센터 중심 홍보에 적합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4</w:t>
            </w:r>
          </w:p>
        </w:tc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운영은 단단하게, 전환은 빠르게</w:t>
            </w:r>
          </w:p>
        </w:tc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B2B 세일즈</w:t>
            </w:r>
          </w:p>
        </w:tc>
        <w:tc>
          <w:tcPr>
            <w:tcW w:type="dxa" w:w="3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ITO·운영 신뢰를 강조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5</w:t>
            </w:r>
          </w:p>
        </w:tc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고객의 목소리에서 비즈니스의 해답까지</w:t>
            </w:r>
          </w:p>
        </w:tc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브랜드 영상</w:t>
            </w:r>
          </w:p>
        </w:tc>
        <w:tc>
          <w:tcPr>
            <w:tcW w:type="dxa" w:w="3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정서적이지만 길다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6</w:t>
            </w:r>
          </w:p>
        </w:tc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컨택센터를 넘어 AI 비즈니스 플랫폼으로</w:t>
            </w:r>
          </w:p>
        </w:tc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신사업 발표</w:t>
            </w:r>
          </w:p>
        </w:tc>
        <w:tc>
          <w:tcPr>
            <w:tcW w:type="dxa" w:w="3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미래 방향은 강하지만 현재 실체 설명이 좁다</w:t>
            </w:r>
          </w:p>
        </w:tc>
      </w:tr>
    </w:tbl>
    <w:p>
      <w:pPr>
        <w:pStyle w:val="Heading1"/>
        <w:spacing w:after="160" w:before="26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30"/>
          <w:szCs w:val="30"/>
        </w:rPr>
        <w:t xml:space="preserve">8. 적용 문구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22"/>
                <w:szCs w:val="22"/>
              </w:rPr>
              <w:t xml:space="preserve">용도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22"/>
                <w:szCs w:val="22"/>
              </w:rPr>
              <w:t xml:space="preserve">문구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대표 표기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효성ITX</w:t>
            </w:r>
          </w:p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고객 접점을 지능으로 바꾸다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짧은 소개문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효성ITX는 컨택센터 운영 경험 위에 IT 서비스, 클라우드, AI 솔루션을 결합해 기업의 고객 접점을 더 빠르고 정확한 비즈니스 운영 체계로 바꿉니다.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IR·채용 보조 문구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2"/>
                <w:szCs w:val="22"/>
              </w:rPr>
              <w:t xml:space="preserve">12,000여 석 컨택센터 운영 경험에서 AICC, ITO, IDC, Smart Factory까지. 효성ITX는 기업의 현장과 고객 사이에서 디지털 전환을 실행합니다.</w:t>
            </w:r>
          </w:p>
        </w:tc>
      </w:tr>
    </w:tbl>
    <w:p>
      <w:r>
        <w:br w:type="page"/>
      </w:r>
    </w:p>
    <w:p>
      <w:pPr>
        <w:pStyle w:val="Heading1"/>
        <w:spacing w:after="160" w:before="26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30"/>
          <w:szCs w:val="30"/>
        </w:rPr>
        <w:t xml:space="preserve">9. 출처</w:t>
      </w:r>
    </w:p>
    <w:p>
      <w:pPr>
        <w:spacing w:after="40" w:before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6B7280"/>
          <w:sz w:val="18"/>
          <w:szCs w:val="18"/>
        </w:rPr>
        <w:t xml:space="preserve">효성ITX 기업개요: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18"/>
          <w:szCs w:val="18"/>
        </w:rPr>
        <w:t xml:space="preserve">https://www.hyosungitx.com/ko/company/overview.do</w:t>
      </w:r>
    </w:p>
    <w:p>
      <w:pPr>
        <w:spacing w:after="40" w:before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6B7280"/>
          <w:sz w:val="18"/>
          <w:szCs w:val="18"/>
        </w:rPr>
        <w:t xml:space="preserve">효성ITX 사업개요: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18"/>
          <w:szCs w:val="18"/>
        </w:rPr>
        <w:t xml:space="preserve">https://www.hyosungitx.com/ko/business/overview.do</w:t>
      </w:r>
    </w:p>
    <w:p>
      <w:pPr>
        <w:spacing w:after="40" w:before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6B7280"/>
          <w:sz w:val="18"/>
          <w:szCs w:val="18"/>
        </w:rPr>
        <w:t xml:space="preserve">효성ITX 공시자료: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18"/>
          <w:szCs w:val="18"/>
        </w:rPr>
        <w:t xml:space="preserve">https://www.hyosungitx.com/ko/investment/disclosureData.do</w:t>
      </w:r>
    </w:p>
    <w:p>
      <w:pPr>
        <w:spacing w:after="40" w:before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6B7280"/>
          <w:sz w:val="18"/>
          <w:szCs w:val="18"/>
        </w:rPr>
        <w:t xml:space="preserve">효성ITX 주식정보: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18"/>
          <w:szCs w:val="18"/>
        </w:rPr>
        <w:t xml:space="preserve">https://www.hyosungitx.com/ko/investment/stockInfo.do</w:t>
      </w:r>
    </w:p>
    <w:p>
      <w:pPr>
        <w:spacing w:after="40" w:before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6B7280"/>
          <w:sz w:val="18"/>
          <w:szCs w:val="18"/>
        </w:rPr>
        <w:t xml:space="preserve">DART 2026년 1분기보고서: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18"/>
          <w:szCs w:val="18"/>
        </w:rPr>
        <w:t xml:space="preserve">https://dart.fss.or.kr/dsaf001/main.do?rcpNo=20260515001978</w:t>
      </w:r>
    </w:p>
    <w:p>
      <w:pPr>
        <w:spacing w:after="40" w:before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6B7280"/>
          <w:sz w:val="18"/>
          <w:szCs w:val="18"/>
        </w:rPr>
        <w:t xml:space="preserve">DART 2025년 사업보고서: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18"/>
          <w:szCs w:val="18"/>
        </w:rPr>
        <w:t xml:space="preserve">https://dart.fss.or.kr/dsaf001/main.do?rcpNo=20260318001001</w:t>
      </w:r>
    </w:p>
    <w:p>
      <w:pPr>
        <w:spacing w:after="40" w:before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6B7280"/>
          <w:sz w:val="18"/>
          <w:szCs w:val="18"/>
        </w:rPr>
        <w:t xml:space="preserve">DART 대규모기업집단현황공시: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18"/>
          <w:szCs w:val="18"/>
        </w:rPr>
        <w:t xml:space="preserve">https://dart.fss.or.kr/dsaf001/main.do?rcpNo=20260601001413</w:t>
      </w:r>
    </w:p>
    <w:p>
      <w:pPr>
        <w:spacing w:after="40" w:before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6B7280"/>
          <w:sz w:val="18"/>
          <w:szCs w:val="18"/>
        </w:rPr>
        <w:t xml:space="preserve">DART 기업지배구조보고서공시: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18"/>
          <w:szCs w:val="18"/>
        </w:rPr>
        <w:t xml:space="preserve">https://dart.fss.or.kr/dsaf001/main.do?rcpNo=20260601801767</w:t>
      </w:r>
    </w:p>
    <w:p>
      <w:pPr>
        <w:spacing w:after="40" w:before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6B7280"/>
          <w:sz w:val="18"/>
          <w:szCs w:val="18"/>
        </w:rPr>
        <w:t xml:space="preserve">KRX 기업가치 제고 계획: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18"/>
          <w:szCs w:val="18"/>
        </w:rPr>
        <w:t xml:space="preserve">https://kind.krx.co.kr/common/disclsviewer.do?acptno=20260327000313&amp;docno=&amp;method=search&amp;viewerhost=</w:t>
      </w:r>
    </w:p>
    <w:sectPr>
      <w:footerReference w:type="default" r:id="rId7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olor w:val="6B7280"/>
        <w:sz w:val="18"/>
        <w:szCs w:val="18"/>
      </w:rPr>
      <w:t xml:space="preserve">Hyosung ITX Slogan Brief · Page </w:t>
    </w:r>
    <w:r>
      <w:rPr>
        <w:rFonts w:ascii="Arial" w:cs="Arial" w:eastAsia="Arial" w:hAnsi="Arial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before="320"/>
    </w:pPr>
    <w:rPr>
      <w:rFonts w:ascii="Arial" w:cs="Arial" w:eastAsia="Arial" w:hAnsi="Arial"/>
      <w:b/>
      <w:bCs/>
      <w:color w:val="1F2A44"/>
      <w:sz w:val="38"/>
      <w:szCs w:val="38"/>
    </w:rPr>
  </w:style>
  <w:style w:type="paragraph" w:styleId="Heading1">
    <w:name w:val="Heading 1"/>
    <w:basedOn w:val="Normal"/>
    <w:next w:val="Normal"/>
    <w:qFormat/>
    <w:pPr>
      <w:spacing w:after="160" w:before="260"/>
      <w:outlineLvl w:val="0"/>
    </w:pPr>
    <w:rPr>
      <w:rFonts w:ascii="Arial" w:cs="Arial" w:eastAsia="Arial" w:hAnsi="Arial"/>
      <w:b/>
      <w:bCs/>
      <w:color w:val="1F2A4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F2A44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효성ITX 신규 슬로건 리서치 브리프</dc:title>
  <dc:creator>Codex</dc:creator>
  <dc:description>Hyosung ITX slogan research brief</dc:description>
  <cp:lastModifiedBy>Un-named</cp:lastModifiedBy>
  <cp:revision>1</cp:revision>
  <dcterms:created xsi:type="dcterms:W3CDTF">2026-06-25T02:52:05.762Z</dcterms:created>
  <dcterms:modified xsi:type="dcterms:W3CDTF">2026-06-25T02:52:05.765Z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