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uditEyebrow"/>
      </w:pPr>
      <w:r>
        <w:t>RUNBOOK OPERACIONAL</w:t>
      </w:r>
    </w:p>
    <w:p>
      <w:pPr>
        <w:pStyle w:val="Title"/>
        <w:jc w:val="center"/>
      </w:pPr>
      <w:r>
        <w:t>Politica - Retencao e arquivamento de tabelas de crescimento rapido</w:t>
      </w:r>
    </w:p>
    <w:p>
      <w:pPr>
        <w:pStyle w:val="AuditSubtitle"/>
      </w:pPr>
      <w:r>
        <w:t>Procedimento, governanca e resposta operacional</w:t>
      </w:r>
    </w:p>
    <w:p>
      <w:pPr>
        <w:pStyle w:val="AuditSubtitle"/>
        <w:spacing w:after="400"/>
      </w:pPr>
      <w:r>
        <w:t>Documento operacional versionado do Educly, preparado para execucao, governanca e evidencias futuras da auditoria.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734"/>
            <w:shd w:fill="DCE6F1"/>
          </w:tcPr>
          <w:p>
            <w:r>
              <w:rPr>
                <w:b/>
                <w:color w:val="1F4E79"/>
              </w:rPr>
              <w:t>Projeto</w:t>
            </w:r>
          </w:p>
        </w:tc>
        <w:tc>
          <w:tcPr>
            <w:tcW w:type="dxa" w:w="4734"/>
            <w:shd w:fill="F8FAFC"/>
          </w:tcPr>
          <w:p>
            <w:r>
              <w:t>Educly</w:t>
            </w:r>
          </w:p>
        </w:tc>
      </w:tr>
      <w:tr>
        <w:tc>
          <w:tcPr>
            <w:tcW w:type="dxa" w:w="4734"/>
            <w:shd w:fill="DCE6F1"/>
          </w:tcPr>
          <w:p>
            <w:r>
              <w:rPr>
                <w:b/>
                <w:color w:val="1F4E79"/>
              </w:rPr>
              <w:t>Data de referencia</w:t>
            </w:r>
          </w:p>
        </w:tc>
        <w:tc>
          <w:tcPr>
            <w:tcW w:type="dxa" w:w="4734"/>
            <w:shd w:fill="F8FAFC"/>
          </w:tcPr>
          <w:p>
            <w:r>
              <w:t>24/03/2026</w:t>
            </w:r>
          </w:p>
        </w:tc>
      </w:tr>
      <w:tr>
        <w:tc>
          <w:tcPr>
            <w:tcW w:type="dxa" w:w="4734"/>
            <w:shd w:fill="DCE6F1"/>
          </w:tcPr>
          <w:p>
            <w:r>
              <w:rPr>
                <w:b/>
                <w:color w:val="1F4E79"/>
              </w:rPr>
              <w:t>Documento-fonte</w:t>
            </w:r>
          </w:p>
        </w:tc>
        <w:tc>
          <w:tcPr>
            <w:tcW w:type="dxa" w:w="4734"/>
            <w:shd w:fill="F8FAFC"/>
          </w:tcPr>
          <w:p>
            <w:r>
              <w:t>docs\runbooks\database-retention-policy.md</w:t>
            </w:r>
          </w:p>
        </w:tc>
      </w:tr>
    </w:tbl>
    <w:p>
      <w:pPr>
        <w:spacing w:before="360"/>
        <w:jc w:val="center"/>
      </w:pPr>
      <w:r>
        <w:rPr>
          <w:i/>
          <w:color w:val="6B727A"/>
        </w:rPr>
        <w:t>Versao DOCX gerada a partir do baseline versionado em Markdown.</w:t>
      </w:r>
    </w:p>
    <w:p>
      <w:r>
        <w:br w:type="page"/>
      </w:r>
    </w:p>
    <w:p>
      <w:pPr>
        <w:pStyle w:val="Heading1"/>
        <w:spacing w:before="0"/>
      </w:pPr>
      <w:r>
        <w:t>Sumario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pStyle w:val="AuditQuote"/>
      </w:pPr>
      <w:r>
        <w:t>Se o sumario nao aparecer preenchido de imediato, abra o arquivo no Word e atualize os campos do documento.</w:t>
      </w:r>
    </w:p>
    <w:p>
      <w:r>
        <w:br w:type="page"/>
      </w:r>
    </w:p>
    <w:p>
      <w:pPr/>
      <w:r>
        <w:rPr>
          <w:b w:val="0"/>
          <w:i w:val="0"/>
        </w:rPr>
        <w:t>Data de criacao: 24/03/2026</w:t>
      </w:r>
    </w:p>
    <w:p>
      <w:pPr/>
      <w:r>
        <w:rPr>
          <w:b w:val="0"/>
          <w:i w:val="0"/>
        </w:rPr>
        <w:t>Objetivo: definir uma linha de base para retencao, purge e arquivamento das tabelas append-only e operacionais do Educly, reduzindo crescimento descontrolado e mantendo o minimo necessario para operacao, suporte e auditoria.</w:t>
      </w:r>
    </w:p>
    <w:p>
      <w:pPr>
        <w:pStyle w:val="Heading1"/>
      </w:pPr>
      <w:r>
        <w:rPr>
          <w:b w:val="0"/>
          <w:i w:val="0"/>
        </w:rPr>
        <w:t>Regra geral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Nenhuma rotina destrutiva deve ser aplicada diretamente em producao sem validacao previa em ambiente separado ou em janela controlada.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Tabelas de fila e rate limit devem privilegiar purge curto.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Tabelas operacionais de auditoria e billing devem privilegiar retencao maior e, quando necessario, arquivamento antes de exclusao.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Se houver exigencia legal, fiscal ou contratual superior ao prazo abaixo, prevalece a exigencia do negocio.</w:t>
      </w:r>
    </w:p>
    <w:p>
      <w:pPr>
        <w:pStyle w:val="Heading1"/>
      </w:pPr>
      <w:r>
        <w:rPr>
          <w:b w:val="0"/>
          <w:i w:val="0"/>
        </w:rPr>
        <w:t>Politica base por tabela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94"/>
        <w:gridCol w:w="1894"/>
        <w:gridCol w:w="1894"/>
        <w:gridCol w:w="1894"/>
        <w:gridCol w:w="1894"/>
      </w:tblGrid>
      <w:tr>
        <w:tc>
          <w:tcPr>
            <w:tcW w:type="dxa" w:w="1894"/>
            <w:shd w:fill="DCE6F1"/>
          </w:tcPr>
          <w:p>
            <w:r>
              <w:rPr>
                <w:b/>
                <w:color w:val="1F4E79"/>
              </w:rPr>
              <w:t>Tabela</w:t>
            </w:r>
          </w:p>
        </w:tc>
        <w:tc>
          <w:tcPr>
            <w:tcW w:type="dxa" w:w="1894"/>
            <w:shd w:fill="DCE6F1"/>
          </w:tcPr>
          <w:p>
            <w:r>
              <w:rPr>
                <w:b/>
                <w:color w:val="1F4E79"/>
              </w:rPr>
              <w:t>Categoria</w:t>
            </w:r>
          </w:p>
        </w:tc>
        <w:tc>
          <w:tcPr>
            <w:tcW w:type="dxa" w:w="1894"/>
            <w:shd w:fill="DCE6F1"/>
          </w:tcPr>
          <w:p>
            <w:r>
              <w:rPr>
                <w:b/>
                <w:color w:val="1F4E79"/>
              </w:rPr>
              <w:t>Retencao online recomendada</w:t>
            </w:r>
          </w:p>
        </w:tc>
        <w:tc>
          <w:tcPr>
            <w:tcW w:type="dxa" w:w="1894"/>
            <w:shd w:fill="DCE6F1"/>
          </w:tcPr>
          <w:p>
            <w:r>
              <w:rPr>
                <w:b/>
                <w:color w:val="1F4E79"/>
              </w:rPr>
              <w:t>Acao apos janela</w:t>
            </w:r>
          </w:p>
        </w:tc>
        <w:tc>
          <w:tcPr>
            <w:tcW w:type="dxa" w:w="1894"/>
            <w:shd w:fill="DCE6F1"/>
          </w:tcPr>
          <w:p>
            <w:r>
              <w:rPr>
                <w:b/>
                <w:color w:val="1F4E79"/>
              </w:rPr>
              <w:t>Observacao</w:t>
            </w:r>
          </w:p>
        </w:tc>
      </w:tr>
      <w:tr>
        <w:tc>
          <w:tcPr>
            <w:tcW w:type="dxa" w:w="1894"/>
            <w:shd w:fill="F8FAFC"/>
          </w:tcPr>
          <w:p>
            <w:r>
              <w:t>billing_event_logs</w:t>
            </w:r>
          </w:p>
        </w:tc>
        <w:tc>
          <w:tcPr>
            <w:tcW w:type="dxa" w:w="1894"/>
            <w:shd w:fill="F8FAFC"/>
          </w:tcPr>
          <w:p>
            <w:r>
              <w:t>billing / auditoria operacional</w:t>
            </w:r>
          </w:p>
        </w:tc>
        <w:tc>
          <w:tcPr>
            <w:tcW w:type="dxa" w:w="1894"/>
            <w:shd w:fill="F8FAFC"/>
          </w:tcPr>
          <w:p>
            <w:r>
              <w:t>12 meses</w:t>
            </w:r>
          </w:p>
        </w:tc>
        <w:tc>
          <w:tcPr>
            <w:tcW w:type="dxa" w:w="1894"/>
            <w:shd w:fill="F8FAFC"/>
          </w:tcPr>
          <w:p>
            <w:r>
              <w:t>arquivar ou exportar; excluir acima de 24 meses se permitido</w:t>
            </w:r>
          </w:p>
        </w:tc>
        <w:tc>
          <w:tcPr>
            <w:tcW w:type="dxa" w:w="1894"/>
            <w:shd w:fill="F8FAFC"/>
          </w:tcPr>
          <w:p>
            <w:r>
              <w:t>manter historico suficiente para suporte, reconciliacao e analise</w:t>
            </w:r>
          </w:p>
        </w:tc>
      </w:tr>
      <w:tr>
        <w:tc>
          <w:tcPr>
            <w:tcW w:type="dxa" w:w="1894"/>
            <w:shd w:fill="F8FAFC"/>
          </w:tcPr>
          <w:p>
            <w:r>
              <w:t>email_logs</w:t>
            </w:r>
          </w:p>
        </w:tc>
        <w:tc>
          <w:tcPr>
            <w:tcW w:type="dxa" w:w="1894"/>
            <w:shd w:fill="F8FAFC"/>
          </w:tcPr>
          <w:p>
            <w:r>
              <w:t>operacao de e-mail</w:t>
            </w:r>
          </w:p>
        </w:tc>
        <w:tc>
          <w:tcPr>
            <w:tcW w:type="dxa" w:w="1894"/>
            <w:shd w:fill="F8FAFC"/>
          </w:tcPr>
          <w:p>
            <w:r>
              <w:t>180 dias</w:t>
            </w:r>
          </w:p>
        </w:tc>
        <w:tc>
          <w:tcPr>
            <w:tcW w:type="dxa" w:w="1894"/>
            <w:shd w:fill="F8FAFC"/>
          </w:tcPr>
          <w:p>
            <w:r>
              <w:t>arquivar ou excluir apos 180 dias</w:t>
            </w:r>
          </w:p>
        </w:tc>
        <w:tc>
          <w:tcPr>
            <w:tcW w:type="dxa" w:w="1894"/>
            <w:shd w:fill="F8FAFC"/>
          </w:tcPr>
          <w:p>
            <w:r>
              <w:t>manter metadados recentes para suporte e entregabilidade</w:t>
            </w:r>
          </w:p>
        </w:tc>
      </w:tr>
      <w:tr>
        <w:tc>
          <w:tcPr>
            <w:tcW w:type="dxa" w:w="1894"/>
            <w:shd w:fill="F8FAFC"/>
          </w:tcPr>
          <w:p>
            <w:r>
              <w:t>chat_messages</w:t>
            </w:r>
          </w:p>
        </w:tc>
        <w:tc>
          <w:tcPr>
            <w:tcW w:type="dxa" w:w="1894"/>
            <w:shd w:fill="F8FAFC"/>
          </w:tcPr>
          <w:p>
            <w:r>
              <w:t>conteudo conversacional</w:t>
            </w:r>
          </w:p>
        </w:tc>
        <w:tc>
          <w:tcPr>
            <w:tcW w:type="dxa" w:w="1894"/>
            <w:shd w:fill="F8FAFC"/>
          </w:tcPr>
          <w:p>
            <w:r>
              <w:t>180 dias</w:t>
            </w:r>
          </w:p>
        </w:tc>
        <w:tc>
          <w:tcPr>
            <w:tcW w:type="dxa" w:w="1894"/>
            <w:shd w:fill="F8FAFC"/>
          </w:tcPr>
          <w:p>
            <w:r>
              <w:t>arquivar ou excluir conforme politica de produto</w:t>
            </w:r>
          </w:p>
        </w:tc>
        <w:tc>
          <w:tcPr>
            <w:tcW w:type="dxa" w:w="1894"/>
            <w:shd w:fill="F8FAFC"/>
          </w:tcPr>
          <w:p>
            <w:r>
              <w:t>ja ha limitacao de leitura no app; retenção longa deve ser deliberada</w:t>
            </w:r>
          </w:p>
        </w:tc>
      </w:tr>
      <w:tr>
        <w:tc>
          <w:tcPr>
            <w:tcW w:type="dxa" w:w="1894"/>
            <w:shd w:fill="F8FAFC"/>
          </w:tcPr>
          <w:p>
            <w:r>
              <w:t>pending_thank_you_emails</w:t>
            </w:r>
          </w:p>
        </w:tc>
        <w:tc>
          <w:tcPr>
            <w:tcW w:type="dxa" w:w="1894"/>
            <w:shd w:fill="F8FAFC"/>
          </w:tcPr>
          <w:p>
            <w:r>
              <w:t>fila</w:t>
            </w:r>
          </w:p>
        </w:tc>
        <w:tc>
          <w:tcPr>
            <w:tcW w:type="dxa" w:w="1894"/>
            <w:shd w:fill="F8FAFC"/>
          </w:tcPr>
          <w:p>
            <w:r>
              <w:t>30 dias apos sent = true</w:t>
            </w:r>
          </w:p>
        </w:tc>
        <w:tc>
          <w:tcPr>
            <w:tcW w:type="dxa" w:w="1894"/>
            <w:shd w:fill="F8FAFC"/>
          </w:tcPr>
          <w:p>
            <w:r>
              <w:t>excluir</w:t>
            </w:r>
          </w:p>
        </w:tc>
        <w:tc>
          <w:tcPr>
            <w:tcW w:type="dxa" w:w="1894"/>
            <w:shd w:fill="F8FAFC"/>
          </w:tcPr>
          <w:p>
            <w:r>
              <w:t>filas concluidas nao devem ficar crescendo indefinidamente</w:t>
            </w:r>
          </w:p>
        </w:tc>
      </w:tr>
      <w:tr>
        <w:tc>
          <w:tcPr>
            <w:tcW w:type="dxa" w:w="1894"/>
            <w:shd w:fill="F8FAFC"/>
          </w:tcPr>
          <w:p>
            <w:r>
              <w:t>webhook_failure_logs</w:t>
            </w:r>
          </w:p>
        </w:tc>
        <w:tc>
          <w:tcPr>
            <w:tcW w:type="dxa" w:w="1894"/>
            <w:shd w:fill="F8FAFC"/>
          </w:tcPr>
          <w:p>
            <w:r>
              <w:t>fila / incidente</w:t>
            </w:r>
          </w:p>
        </w:tc>
        <w:tc>
          <w:tcPr>
            <w:tcW w:type="dxa" w:w="1894"/>
            <w:shd w:fill="F8FAFC"/>
          </w:tcPr>
          <w:p>
            <w:r>
              <w:t>manter pendentes ate resolucao; resolvidos por 90 dias</w:t>
            </w:r>
          </w:p>
        </w:tc>
        <w:tc>
          <w:tcPr>
            <w:tcW w:type="dxa" w:w="1894"/>
            <w:shd w:fill="F8FAFC"/>
          </w:tcPr>
          <w:p>
            <w:r>
              <w:t>excluir resolvidos antigos</w:t>
            </w:r>
          </w:p>
        </w:tc>
        <w:tc>
          <w:tcPr>
            <w:tcW w:type="dxa" w:w="1894"/>
            <w:shd w:fill="F8FAFC"/>
          </w:tcPr>
          <w:p>
            <w:r>
              <w:t>pendentes e retrying permanecem ate resolucao</w:t>
            </w:r>
          </w:p>
        </w:tc>
      </w:tr>
      <w:tr>
        <w:tc>
          <w:tcPr>
            <w:tcW w:type="dxa" w:w="1894"/>
            <w:shd w:fill="F8FAFC"/>
          </w:tcPr>
          <w:p>
            <w:r>
              <w:t>password_reset_attempts</w:t>
            </w:r>
          </w:p>
        </w:tc>
        <w:tc>
          <w:tcPr>
            <w:tcW w:type="dxa" w:w="1894"/>
            <w:shd w:fill="F8FAFC"/>
          </w:tcPr>
          <w:p>
            <w:r>
              <w:t>rate limit / seguranca</w:t>
            </w:r>
          </w:p>
        </w:tc>
        <w:tc>
          <w:tcPr>
            <w:tcW w:type="dxa" w:w="1894"/>
            <w:shd w:fill="F8FAFC"/>
          </w:tcPr>
          <w:p>
            <w:r>
              <w:t>30 dias</w:t>
            </w:r>
          </w:p>
        </w:tc>
        <w:tc>
          <w:tcPr>
            <w:tcW w:type="dxa" w:w="1894"/>
            <w:shd w:fill="F8FAFC"/>
          </w:tcPr>
          <w:p>
            <w:r>
              <w:t>excluir</w:t>
            </w:r>
          </w:p>
        </w:tc>
        <w:tc>
          <w:tcPr>
            <w:tcW w:type="dxa" w:w="1894"/>
            <w:shd w:fill="F8FAFC"/>
          </w:tcPr>
          <w:p>
            <w:r>
              <w:t>suficiente para protecao operacional e investigacao curta</w:t>
            </w:r>
          </w:p>
        </w:tc>
      </w:tr>
      <w:tr>
        <w:tc>
          <w:tcPr>
            <w:tcW w:type="dxa" w:w="1894"/>
            <w:shd w:fill="F8FAFC"/>
          </w:tcPr>
          <w:p>
            <w:r>
              <w:t>landing_chat_rate_limits</w:t>
            </w:r>
          </w:p>
        </w:tc>
        <w:tc>
          <w:tcPr>
            <w:tcW w:type="dxa" w:w="1894"/>
            <w:shd w:fill="F8FAFC"/>
          </w:tcPr>
          <w:p>
            <w:r>
              <w:t>rate limit efemero</w:t>
            </w:r>
          </w:p>
        </w:tc>
        <w:tc>
          <w:tcPr>
            <w:tcW w:type="dxa" w:w="1894"/>
            <w:shd w:fill="F8FAFC"/>
          </w:tcPr>
          <w:p>
            <w:r>
              <w:t>7 dias</w:t>
            </w:r>
          </w:p>
        </w:tc>
        <w:tc>
          <w:tcPr>
            <w:tcW w:type="dxa" w:w="1894"/>
            <w:shd w:fill="F8FAFC"/>
          </w:tcPr>
          <w:p>
            <w:r>
              <w:t>excluir</w:t>
            </w:r>
          </w:p>
        </w:tc>
        <w:tc>
          <w:tcPr>
            <w:tcW w:type="dxa" w:w="1894"/>
            <w:shd w:fill="F8FAFC"/>
          </w:tcPr>
          <w:p>
            <w:r>
              <w:t>tabela deve ser tratada como altamente descartavel</w:t>
            </w:r>
          </w:p>
        </w:tc>
      </w:tr>
      <w:tr>
        <w:tc>
          <w:tcPr>
            <w:tcW w:type="dxa" w:w="1894"/>
            <w:shd w:fill="F8FAFC"/>
          </w:tcPr>
          <w:p>
            <w:r>
              <w:t>paddle_geral</w:t>
            </w:r>
          </w:p>
        </w:tc>
        <w:tc>
          <w:tcPr>
            <w:tcW w:type="dxa" w:w="1894"/>
            <w:shd w:fill="F8FAFC"/>
          </w:tcPr>
          <w:p>
            <w:r>
              <w:t>log bruto de webhook</w:t>
            </w:r>
          </w:p>
        </w:tc>
        <w:tc>
          <w:tcPr>
            <w:tcW w:type="dxa" w:w="1894"/>
            <w:shd w:fill="F8FAFC"/>
          </w:tcPr>
          <w:p>
            <w:r>
              <w:t>180 dias</w:t>
            </w:r>
          </w:p>
        </w:tc>
        <w:tc>
          <w:tcPr>
            <w:tcW w:type="dxa" w:w="1894"/>
            <w:shd w:fill="F8FAFC"/>
          </w:tcPr>
          <w:p>
            <w:r>
              <w:t>arquivar ou excluir conforme necessidade de billing</w:t>
            </w:r>
          </w:p>
        </w:tc>
        <w:tc>
          <w:tcPr>
            <w:tcW w:type="dxa" w:w="1894"/>
            <w:shd w:fill="F8FAFC"/>
          </w:tcPr>
          <w:p>
            <w:r>
              <w:t>e um log bruto, nao deve crescer sem limite</w:t>
            </w:r>
          </w:p>
        </w:tc>
      </w:tr>
      <w:tr>
        <w:tc>
          <w:tcPr>
            <w:tcW w:type="dxa" w:w="1894"/>
            <w:shd w:fill="F8FAFC"/>
          </w:tcPr>
          <w:p>
            <w:r>
              <w:t>user_sessions</w:t>
            </w:r>
          </w:p>
        </w:tc>
        <w:tc>
          <w:tcPr>
            <w:tcW w:type="dxa" w:w="1894"/>
            <w:shd w:fill="F8FAFC"/>
          </w:tcPr>
          <w:p>
            <w:r>
              <w:t>sessao / observabilidade</w:t>
            </w:r>
          </w:p>
        </w:tc>
        <w:tc>
          <w:tcPr>
            <w:tcW w:type="dxa" w:w="1894"/>
            <w:shd w:fill="F8FAFC"/>
          </w:tcPr>
          <w:p>
            <w:r>
              <w:t>90 dias</w:t>
            </w:r>
          </w:p>
        </w:tc>
        <w:tc>
          <w:tcPr>
            <w:tcW w:type="dxa" w:w="1894"/>
            <w:shd w:fill="F8FAFC"/>
          </w:tcPr>
          <w:p>
            <w:r>
              <w:t>excluir ou agregar antes</w:t>
            </w:r>
          </w:p>
        </w:tc>
        <w:tc>
          <w:tcPr>
            <w:tcW w:type="dxa" w:w="1894"/>
            <w:shd w:fill="F8FAFC"/>
          </w:tcPr>
          <w:p>
            <w:r>
              <w:t>manter apenas janela util para analise de uso e suporte</w:t>
            </w:r>
          </w:p>
        </w:tc>
      </w:tr>
      <w:tr>
        <w:tc>
          <w:tcPr>
            <w:tcW w:type="dxa" w:w="1894"/>
            <w:shd w:fill="F8FAFC"/>
          </w:tcPr>
          <w:p>
            <w:r>
              <w:t>user_bugs</w:t>
            </w:r>
          </w:p>
        </w:tc>
        <w:tc>
          <w:tcPr>
            <w:tcW w:type="dxa" w:w="1894"/>
            <w:shd w:fill="F8FAFC"/>
          </w:tcPr>
          <w:p>
            <w:r>
              <w:t>erro reportado pelo app</w:t>
            </w:r>
          </w:p>
        </w:tc>
        <w:tc>
          <w:tcPr>
            <w:tcW w:type="dxa" w:w="1894"/>
            <w:shd w:fill="F8FAFC"/>
          </w:tcPr>
          <w:p>
            <w:r>
              <w:t>180 dias</w:t>
            </w:r>
          </w:p>
        </w:tc>
        <w:tc>
          <w:tcPr>
            <w:tcW w:type="dxa" w:w="1894"/>
            <w:shd w:fill="F8FAFC"/>
          </w:tcPr>
          <w:p>
            <w:r>
              <w:t>arquivar ou excluir</w:t>
            </w:r>
          </w:p>
        </w:tc>
        <w:tc>
          <w:tcPr>
            <w:tcW w:type="dxa" w:w="1894"/>
            <w:shd w:fill="F8FAFC"/>
          </w:tcPr>
          <w:p>
            <w:r>
              <w:t>bugs antigos resolvidos nao precisam ficar online para sempre</w:t>
            </w:r>
          </w:p>
        </w:tc>
      </w:tr>
      <w:tr>
        <w:tc>
          <w:tcPr>
            <w:tcW w:type="dxa" w:w="1894"/>
            <w:shd w:fill="F8FAFC"/>
          </w:tcPr>
          <w:p>
            <w:r>
              <w:t>error_logs</w:t>
            </w:r>
          </w:p>
        </w:tc>
        <w:tc>
          <w:tcPr>
            <w:tcW w:type="dxa" w:w="1894"/>
            <w:shd w:fill="F8FAFC"/>
          </w:tcPr>
          <w:p>
            <w:r>
              <w:t>erro operacional</w:t>
            </w:r>
          </w:p>
        </w:tc>
        <w:tc>
          <w:tcPr>
            <w:tcW w:type="dxa" w:w="1894"/>
            <w:shd w:fill="F8FAFC"/>
          </w:tcPr>
          <w:p>
            <w:r>
              <w:t>90 dias</w:t>
            </w:r>
          </w:p>
        </w:tc>
        <w:tc>
          <w:tcPr>
            <w:tcW w:type="dxa" w:w="1894"/>
            <w:shd w:fill="F8FAFC"/>
          </w:tcPr>
          <w:p>
            <w:r>
              <w:t>arquivar ou excluir</w:t>
            </w:r>
          </w:p>
        </w:tc>
        <w:tc>
          <w:tcPr>
            <w:tcW w:type="dxa" w:w="1894"/>
            <w:shd w:fill="F8FAFC"/>
          </w:tcPr>
          <w:p>
            <w:r>
              <w:t>excecoes antigas devem sair da base transacional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Regras adicionais</w:t>
      </w:r>
    </w:p>
    <w:p>
      <w:pPr>
        <w:pStyle w:val="Heading2"/>
      </w:pPr>
      <w:r>
        <w:rPr>
          <w:b w:val="0"/>
          <w:i w:val="0"/>
        </w:rPr>
        <w:t>Fila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tabelas de fila devem remover itens concluidos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itens pendentes ou com retry em andamento nao devem ser apagados</w:t>
      </w:r>
    </w:p>
    <w:p>
      <w:pPr>
        <w:pStyle w:val="Heading2"/>
      </w:pPr>
      <w:r>
        <w:rPr>
          <w:b w:val="0"/>
          <w:i w:val="0"/>
        </w:rPr>
        <w:t>Billing e auditoria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eventos de billing nao devem ser apagados sem avaliar suporte, chargeback, reconciliacao e obrigacoes do negocio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quando possivel, prefira exportar/arquivar antes de excluir</w:t>
      </w:r>
    </w:p>
    <w:p>
      <w:pPr>
        <w:pStyle w:val="Heading2"/>
      </w:pPr>
      <w:r>
        <w:rPr>
          <w:b w:val="0"/>
          <w:i w:val="0"/>
        </w:rPr>
        <w:t>Conteudo de usuario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qualquer exclusao de </w:t>
      </w:r>
      <w:r>
        <w:rPr>
          <w:rFonts w:ascii="Consolas" w:hAnsi="Consolas"/>
          <w:b w:val="0"/>
          <w:i w:val="0"/>
          <w:sz w:val="18"/>
          <w:highlight w:val="lightGray"/>
        </w:rPr>
        <w:t>chat_messages</w:t>
      </w:r>
      <w:r>
        <w:rPr>
          <w:b w:val="0"/>
          <w:i w:val="0"/>
        </w:rPr>
        <w:t xml:space="preserve"> deve respeitar a experiencia prometida ao usuario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se o produto depender de historico mais longo, ajustar a janela antes de automatizar purge</w:t>
      </w:r>
    </w:p>
    <w:p>
      <w:pPr>
        <w:pStyle w:val="Heading1"/>
      </w:pPr>
      <w:r>
        <w:rPr>
          <w:b w:val="0"/>
          <w:i w:val="0"/>
        </w:rPr>
        <w:t>Ordem recomendada de implementacao futura</w:t>
      </w:r>
    </w:p>
    <w:p>
      <w:pPr>
        <w:pStyle w:val="ListNumber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landing_chat_rate_limits</w:t>
      </w:r>
    </w:p>
    <w:p>
      <w:pPr>
        <w:pStyle w:val="ListNumber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password_reset_attempts</w:t>
      </w:r>
    </w:p>
    <w:p>
      <w:pPr>
        <w:pStyle w:val="ListNumber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pending_thank_you_emails</w:t>
      </w:r>
    </w:p>
    <w:p>
      <w:pPr>
        <w:pStyle w:val="ListNumber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webhook_failure_logs</w:t>
      </w:r>
      <w:r>
        <w:rPr>
          <w:b w:val="0"/>
          <w:i w:val="0"/>
        </w:rPr>
        <w:t xml:space="preserve"> resolvidos</w:t>
      </w:r>
    </w:p>
    <w:p>
      <w:pPr>
        <w:pStyle w:val="ListNumber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user_sessions</w:t>
      </w:r>
    </w:p>
    <w:p>
      <w:pPr>
        <w:pStyle w:val="ListNumber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error_logs</w:t>
      </w:r>
    </w:p>
    <w:p>
      <w:pPr>
        <w:pStyle w:val="ListNumber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user_bugs</w:t>
      </w:r>
    </w:p>
    <w:p>
      <w:pPr>
        <w:pStyle w:val="ListNumber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email_logs</w:t>
      </w:r>
    </w:p>
    <w:p>
      <w:pPr>
        <w:pStyle w:val="ListNumber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chat_messages</w:t>
      </w:r>
    </w:p>
    <w:p>
      <w:pPr>
        <w:pStyle w:val="ListNumber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paddle_geral</w:t>
      </w:r>
    </w:p>
    <w:p>
      <w:pPr>
        <w:pStyle w:val="ListNumber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billing_event_logs</w:t>
      </w:r>
    </w:p>
    <w:p>
      <w:pPr>
        <w:pStyle w:val="Heading1"/>
      </w:pPr>
      <w:r>
        <w:rPr>
          <w:b w:val="0"/>
          <w:i w:val="0"/>
        </w:rPr>
        <w:t>Guardrails para implementacao</w:t>
      </w:r>
    </w:p>
    <w:p>
      <w:pPr/>
      <w:r>
        <w:rPr>
          <w:b w:val="0"/>
          <w:i w:val="0"/>
        </w:rPr>
        <w:t>Antes de criar qualquer job de purge/arquivamento: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validar a query em staging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 xml:space="preserve">executar com </w:t>
      </w:r>
      <w:r>
        <w:rPr>
          <w:rFonts w:ascii="Consolas" w:hAnsi="Consolas"/>
          <w:b w:val="0"/>
          <w:i w:val="0"/>
          <w:sz w:val="18"/>
          <w:highlight w:val="lightGray"/>
        </w:rPr>
        <w:t>LIMIT</w:t>
      </w:r>
      <w:r>
        <w:rPr>
          <w:b w:val="0"/>
          <w:i w:val="0"/>
        </w:rPr>
        <w:t xml:space="preserve"> e amostra inicial quando fizer sentido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registrar a janela aplicada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guardar backup/export quando a tabela tiver valor historico</w:t>
      </w:r>
    </w:p>
    <w:p>
      <w:pPr>
        <w:pStyle w:val="ListNumber"/>
        <w:spacing w:after="40"/>
        <w:ind w:left="0"/>
      </w:pPr>
      <w:r>
        <w:rPr>
          <w:b w:val="0"/>
          <w:i w:val="0"/>
        </w:rPr>
        <w:t>monitorar erros e volume removido</w:t>
      </w:r>
    </w:p>
    <w:p>
      <w:pPr>
        <w:pStyle w:val="Heading1"/>
      </w:pPr>
      <w:r>
        <w:rPr>
          <w:b w:val="0"/>
          <w:i w:val="0"/>
        </w:rPr>
        <w:t>Registro minimo por rotina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Tabela: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Janela aplicada: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Tipo de acao: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Ambiente validado: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Responsavel: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Data de inicio: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Resultado:</w:t>
      </w:r>
    </w:p>
    <w:p>
      <w:pPr>
        <w:pStyle w:val="CodeBlock"/>
        <w:pBdr>
          <w:bottom w:val="single" w:sz="4" w:space="1" w:color="E2E8F0"/>
        </w:pBdr>
        <w:spacing w:after="0"/>
      </w:pPr>
      <w:r>
        <w:rPr>
          <w:rFonts w:ascii="Consolas" w:hAnsi="Consolas"/>
          <w:sz w:val="19"/>
        </w:rPr>
        <w:t>Observacoes: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304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7A"/>
        <w:sz w:val="17"/>
      </w:rPr>
      <w:t xml:space="preserve">Pagina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B727A"/>
        <w:sz w:val="17"/>
      </w:rPr>
      <w:t>Educly | Runbook | Politica - Retencao e arquivamento de tabelas de crescimento rapido | 24/03/2026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color w:val="25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Georgia" w:hAnsi="Georgia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486A8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Georgia" w:hAnsi="Georgia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ditSubtitle">
    <w:name w:val="Audit Subtitle"/>
    <w:basedOn w:val="Normal"/>
    <w:pPr>
      <w:spacing w:after="160"/>
      <w:jc w:val="center"/>
    </w:pPr>
    <w:rPr>
      <w:rFonts w:ascii="Calibri" w:hAnsi="Calibri"/>
      <w:color w:val="6B727A"/>
      <w:sz w:val="25"/>
    </w:rPr>
  </w:style>
  <w:style w:type="paragraph" w:customStyle="1" w:styleId="AuditEyebrow">
    <w:name w:val="Audit Eyebrow"/>
    <w:basedOn w:val="Normal"/>
    <w:pPr>
      <w:spacing w:after="120"/>
      <w:jc w:val="center"/>
    </w:pPr>
    <w:rPr>
      <w:rFonts w:ascii="Calibri" w:hAnsi="Calibri"/>
      <w:b/>
      <w:color w:val="486A85"/>
      <w:sz w:val="19"/>
    </w:rPr>
  </w:style>
  <w:style w:type="paragraph" w:customStyle="1" w:styleId="CodeBlock">
    <w:name w:val="Code Block"/>
    <w:basedOn w:val="Normal"/>
    <w:pPr>
      <w:spacing w:before="80" w:after="120" w:line="240" w:lineRule="auto"/>
      <w:ind w:left="340" w:right="227"/>
    </w:pPr>
    <w:rPr>
      <w:rFonts w:ascii="Consolas" w:hAnsi="Consolas"/>
      <w:sz w:val="19"/>
    </w:rPr>
  </w:style>
  <w:style w:type="paragraph" w:customStyle="1" w:styleId="AuditQuote">
    <w:name w:val="Audit Quote"/>
    <w:basedOn w:val="Normal"/>
    <w:pPr>
      <w:spacing w:before="80" w:after="120"/>
      <w:ind w:left="340"/>
    </w:pPr>
    <w:rPr>
      <w:i/>
      <w:color w:val="6B727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Politica - Retencao e arquivamento de tabelas de crescimento rapido</dc:title>
  <dc:subject>Runbook operacional do Educly: Politica - Retencao e arquivamento de tabelas de crescimento rapido</dc:subject>
  <dc:creator>OpenAI Codex</dc:creator>
  <cp:keywords/>
  <dc:description>Arquivo DOCX gerado automaticamente a partir de docs\runbooks\database-retention-policy.md.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