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7648E" w14:textId="77777777" w:rsidR="00144503" w:rsidRPr="00144503" w:rsidRDefault="00144503" w:rsidP="00144503">
      <w:pPr>
        <w:shd w:val="clear" w:color="auto" w:fill="FFFFFF"/>
        <w:spacing w:after="450"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A chain of custody form, or CCF, is a document used to keep track of a specimen in the drug testing process. It tracks the specimen from the moment the donor provides the specimen to the collector until the reporting of the specimen analysis from the MRO to the DER.</w:t>
      </w:r>
    </w:p>
    <w:p w14:paraId="18797354" w14:textId="77777777" w:rsidR="00144503" w:rsidRPr="00144503" w:rsidRDefault="00144503" w:rsidP="00144503">
      <w:pPr>
        <w:shd w:val="clear" w:color="auto" w:fill="FFFFFF"/>
        <w:spacing w:after="450"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It is also called the chain of custody and control form — or just the custody and control form.</w:t>
      </w:r>
    </w:p>
    <w:p w14:paraId="064A2BE5" w14:textId="77777777" w:rsidR="00144503" w:rsidRPr="00144503" w:rsidRDefault="00144503" w:rsidP="00144503">
      <w:pPr>
        <w:shd w:val="clear" w:color="auto" w:fill="FFFFFF"/>
        <w:spacing w:after="300" w:line="240" w:lineRule="auto"/>
        <w:outlineLvl w:val="1"/>
        <w:rPr>
          <w:rFonts w:ascii="cormorant garamond" w:eastAsia="Times New Roman" w:hAnsi="cormorant garamond" w:cs="Times New Roman"/>
          <w:b/>
          <w:bCs/>
          <w:color w:val="0C0C0C"/>
          <w:sz w:val="36"/>
          <w:szCs w:val="36"/>
        </w:rPr>
      </w:pPr>
      <w:r w:rsidRPr="00144503">
        <w:rPr>
          <w:rFonts w:ascii="cormorant garamond" w:eastAsia="Times New Roman" w:hAnsi="cormorant garamond" w:cs="Times New Roman"/>
          <w:b/>
          <w:bCs/>
          <w:color w:val="0C0C0C"/>
          <w:sz w:val="36"/>
          <w:szCs w:val="36"/>
        </w:rPr>
        <w:t>The CCF’s Purpose</w:t>
      </w:r>
    </w:p>
    <w:p w14:paraId="6682A384" w14:textId="77777777" w:rsidR="00144503" w:rsidRPr="00144503" w:rsidRDefault="00144503" w:rsidP="00144503">
      <w:pPr>
        <w:shd w:val="clear" w:color="auto" w:fill="FFFFFF"/>
        <w:spacing w:after="450"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The purpose of the chain of custody form is to ensure that the specimen is handled in accordance with the </w:t>
      </w:r>
      <w:hyperlink r:id="rId5" w:history="1">
        <w:r w:rsidRPr="00144503">
          <w:rPr>
            <w:rFonts w:ascii="Open Sans" w:eastAsia="Times New Roman" w:hAnsi="Open Sans" w:cs="Open Sans"/>
            <w:color w:val="3184EA"/>
            <w:sz w:val="27"/>
            <w:szCs w:val="27"/>
            <w:u w:val="single"/>
          </w:rPr>
          <w:t>Mandatory Guidelines for Federal Workplace Drug Testing Programs</w:t>
        </w:r>
      </w:hyperlink>
      <w:r w:rsidRPr="00144503">
        <w:rPr>
          <w:rFonts w:ascii="Open Sans" w:eastAsia="Times New Roman" w:hAnsi="Open Sans" w:cs="Open Sans"/>
          <w:color w:val="0C0C0C"/>
          <w:sz w:val="27"/>
          <w:szCs w:val="27"/>
        </w:rPr>
        <w:t>. These guidelines lay out the drug testing rules in detail, and the CCF ensures that each step of the testing process is conducted and documented correctly.</w:t>
      </w:r>
    </w:p>
    <w:p w14:paraId="3CC7E90D" w14:textId="77777777" w:rsidR="00144503" w:rsidRPr="00144503" w:rsidRDefault="00144503" w:rsidP="00144503">
      <w:pPr>
        <w:shd w:val="clear" w:color="auto" w:fill="FFFFFF"/>
        <w:spacing w:after="450"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Also, with the CCF, MRO’s, labs, collectors, employers, and even donors can find flaws in the testing process that otherwise might have gone unnoticed. They then can correct the mistake or cancel the test. In so doing, they can prevent false positives.</w:t>
      </w:r>
    </w:p>
    <w:p w14:paraId="5C44795A" w14:textId="77777777" w:rsidR="00144503" w:rsidRPr="00144503" w:rsidRDefault="00144503" w:rsidP="00144503">
      <w:pPr>
        <w:shd w:val="clear" w:color="auto" w:fill="FFFFFF"/>
        <w:spacing w:after="300" w:line="240" w:lineRule="auto"/>
        <w:outlineLvl w:val="1"/>
        <w:rPr>
          <w:rFonts w:ascii="cormorant garamond" w:eastAsia="Times New Roman" w:hAnsi="cormorant garamond" w:cs="Times New Roman"/>
          <w:b/>
          <w:bCs/>
          <w:color w:val="0C0C0C"/>
          <w:sz w:val="36"/>
          <w:szCs w:val="36"/>
        </w:rPr>
      </w:pPr>
      <w:r w:rsidRPr="00144503">
        <w:rPr>
          <w:rFonts w:ascii="cormorant garamond" w:eastAsia="Times New Roman" w:hAnsi="cormorant garamond" w:cs="Times New Roman"/>
          <w:b/>
          <w:bCs/>
          <w:color w:val="0C0C0C"/>
          <w:sz w:val="36"/>
          <w:szCs w:val="36"/>
        </w:rPr>
        <w:t>Why Employers and DERs Should Care About the Chain of Custody Form</w:t>
      </w:r>
    </w:p>
    <w:p w14:paraId="49F06589" w14:textId="77777777" w:rsidR="00144503" w:rsidRPr="00144503" w:rsidRDefault="00144503" w:rsidP="00144503">
      <w:pPr>
        <w:shd w:val="clear" w:color="auto" w:fill="FFFFFF"/>
        <w:spacing w:after="450"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The chain of custody form helps everyone in the testing process identify and correct issues that may occur. As a result, it helps employers and DERs identify problems that could otherwise lead to enforcement action taken against them by a DOT agency, in the case of DOT testing.</w:t>
      </w:r>
    </w:p>
    <w:p w14:paraId="26740B91" w14:textId="77777777" w:rsidR="00144503" w:rsidRPr="00144503" w:rsidRDefault="00144503" w:rsidP="00144503">
      <w:pPr>
        <w:shd w:val="clear" w:color="auto" w:fill="FFFFFF"/>
        <w:spacing w:after="450"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Ultimately, the responsibility for any mistake made in the testing process falls on the employer. It does not matter whether a hired service agent was responsible for the error.</w:t>
      </w:r>
    </w:p>
    <w:p w14:paraId="4CEC8880" w14:textId="77777777" w:rsidR="00144503" w:rsidRPr="00144503" w:rsidRDefault="00144503" w:rsidP="00144503">
      <w:pPr>
        <w:shd w:val="clear" w:color="auto" w:fill="FFFFFF"/>
        <w:spacing w:after="450"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lastRenderedPageBreak/>
        <w:t>It is for this reason that, at least in DOT drug testing, the employer has a copy of the chain of custody form. Assuming the employer has a knowledgeable DER, they can thoroughly review the CCF for any errors. We will discuss the errors that the CCF can indicate shortly.</w:t>
      </w:r>
    </w:p>
    <w:p w14:paraId="293D73A3" w14:textId="77777777" w:rsidR="00144503" w:rsidRPr="00144503" w:rsidRDefault="00144503" w:rsidP="00144503">
      <w:pPr>
        <w:shd w:val="clear" w:color="auto" w:fill="FFFFFF"/>
        <w:spacing w:after="450"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Also, for more information on the DER’s roles and responsibilities, check out our post covering the </w:t>
      </w:r>
      <w:hyperlink r:id="rId6" w:history="1">
        <w:r w:rsidRPr="00144503">
          <w:rPr>
            <w:rFonts w:ascii="Open Sans" w:eastAsia="Times New Roman" w:hAnsi="Open Sans" w:cs="Open Sans"/>
            <w:color w:val="3184EA"/>
            <w:sz w:val="27"/>
            <w:szCs w:val="27"/>
            <w:u w:val="single"/>
          </w:rPr>
          <w:t>six main roles of the DER</w:t>
        </w:r>
      </w:hyperlink>
      <w:r w:rsidRPr="00144503">
        <w:rPr>
          <w:rFonts w:ascii="Open Sans" w:eastAsia="Times New Roman" w:hAnsi="Open Sans" w:cs="Open Sans"/>
          <w:color w:val="0C0C0C"/>
          <w:sz w:val="27"/>
          <w:szCs w:val="27"/>
        </w:rPr>
        <w:t>. It provides a good primer on the designated employer representative job title.</w:t>
      </w:r>
    </w:p>
    <w:p w14:paraId="358A0597" w14:textId="77777777" w:rsidR="00144503" w:rsidRPr="00144503" w:rsidRDefault="00144503" w:rsidP="00144503">
      <w:pPr>
        <w:shd w:val="clear" w:color="auto" w:fill="FFFFFF"/>
        <w:spacing w:after="300" w:line="240" w:lineRule="auto"/>
        <w:outlineLvl w:val="1"/>
        <w:rPr>
          <w:rFonts w:ascii="cormorant garamond" w:eastAsia="Times New Roman" w:hAnsi="cormorant garamond" w:cs="Times New Roman"/>
          <w:b/>
          <w:bCs/>
          <w:color w:val="0C0C0C"/>
          <w:sz w:val="36"/>
          <w:szCs w:val="36"/>
        </w:rPr>
      </w:pPr>
      <w:r w:rsidRPr="00144503">
        <w:rPr>
          <w:rFonts w:ascii="cormorant garamond" w:eastAsia="Times New Roman" w:hAnsi="cormorant garamond" w:cs="Times New Roman"/>
          <w:b/>
          <w:bCs/>
          <w:color w:val="0C0C0C"/>
          <w:sz w:val="36"/>
          <w:szCs w:val="36"/>
        </w:rPr>
        <w:t>The Federal Chain of Custody Form</w:t>
      </w:r>
    </w:p>
    <w:p w14:paraId="0B052F60" w14:textId="77777777" w:rsidR="00144503" w:rsidRPr="00144503" w:rsidRDefault="00144503" w:rsidP="00144503">
      <w:pPr>
        <w:shd w:val="clear" w:color="auto" w:fill="FFFFFF"/>
        <w:spacing w:after="450"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The federal chain of custody form is used for DOT drug testing. It has five copies or parts. Each part is used by a different party involved in the testing process.</w:t>
      </w:r>
    </w:p>
    <w:p w14:paraId="60F72E38" w14:textId="77777777" w:rsidR="00144503" w:rsidRPr="00144503" w:rsidRDefault="00144503" w:rsidP="00144503">
      <w:pPr>
        <w:shd w:val="clear" w:color="auto" w:fill="FFFFFF"/>
        <w:spacing w:after="450"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Throughout each step, the person handling the specimen documents their actions in regard to the specimen.</w:t>
      </w:r>
    </w:p>
    <w:p w14:paraId="05B50AF7" w14:textId="77777777" w:rsidR="00144503" w:rsidRPr="00144503" w:rsidRDefault="00144503" w:rsidP="00144503">
      <w:pPr>
        <w:shd w:val="clear" w:color="auto" w:fill="FFFFFF"/>
        <w:spacing w:after="450"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Those parties handling the specimen, or info regarding the specimen, include the collector, the lab testing facility, the MRO, the employer, and the donor.</w:t>
      </w:r>
    </w:p>
    <w:p w14:paraId="0D72596F" w14:textId="77777777" w:rsidR="00144503" w:rsidRPr="00144503" w:rsidRDefault="00144503" w:rsidP="00144503">
      <w:pPr>
        <w:shd w:val="clear" w:color="auto" w:fill="FFFFFF"/>
        <w:spacing w:after="450"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As mentioned, each party is provided their own copy of the chain of custody form:</w:t>
      </w:r>
    </w:p>
    <w:p w14:paraId="76DDB789" w14:textId="77777777" w:rsidR="00144503" w:rsidRPr="00144503" w:rsidRDefault="00144503" w:rsidP="00144503">
      <w:pPr>
        <w:numPr>
          <w:ilvl w:val="0"/>
          <w:numId w:val="1"/>
        </w:numPr>
        <w:shd w:val="clear" w:color="auto" w:fill="FFFFFF"/>
        <w:spacing w:before="100" w:beforeAutospacing="1" w:after="100" w:afterAutospacing="1"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Copy 1: Lab testing facility (see the image at the top of this post)</w:t>
      </w:r>
    </w:p>
    <w:p w14:paraId="32D6F629" w14:textId="77777777" w:rsidR="00144503" w:rsidRPr="00144503" w:rsidRDefault="00144503" w:rsidP="00144503">
      <w:pPr>
        <w:numPr>
          <w:ilvl w:val="0"/>
          <w:numId w:val="1"/>
        </w:numPr>
        <w:shd w:val="clear" w:color="auto" w:fill="FFFFFF"/>
        <w:spacing w:before="100" w:beforeAutospacing="1" w:after="100" w:afterAutospacing="1" w:line="240" w:lineRule="auto"/>
        <w:rPr>
          <w:rFonts w:ascii="Open Sans" w:eastAsia="Times New Roman" w:hAnsi="Open Sans" w:cs="Open Sans"/>
          <w:color w:val="0C0C0C"/>
          <w:sz w:val="27"/>
          <w:szCs w:val="27"/>
        </w:rPr>
      </w:pPr>
      <w:r w:rsidRPr="00144503">
        <w:rPr>
          <w:rFonts w:ascii="Open Sans" w:eastAsia="Times New Roman" w:hAnsi="Open Sans" w:cs="Open Sans"/>
          <w:color w:val="0C0C0C"/>
          <w:sz w:val="27"/>
          <w:szCs w:val="27"/>
        </w:rPr>
        <w:t>Copy 2: MRO</w:t>
      </w:r>
    </w:p>
    <w:p w14:paraId="21A94FC1" w14:textId="77777777" w:rsidR="00593960" w:rsidRDefault="00593960" w:rsidP="00593960">
      <w:pPr>
        <w:numPr>
          <w:ilvl w:val="0"/>
          <w:numId w:val="4"/>
        </w:numPr>
        <w:shd w:val="clear" w:color="auto" w:fill="FFFFFF"/>
        <w:spacing w:before="100" w:beforeAutospacing="1" w:after="100" w:afterAutospacing="1" w:line="240" w:lineRule="auto"/>
        <w:rPr>
          <w:rFonts w:ascii="Open Sans" w:eastAsia="Times New Roman" w:hAnsi="Open Sans" w:cs="Open Sans"/>
          <w:color w:val="0C0C0C"/>
          <w:sz w:val="27"/>
          <w:szCs w:val="27"/>
        </w:rPr>
      </w:pPr>
      <w:r w:rsidRPr="00593960">
        <w:rPr>
          <w:rFonts w:ascii="Open Sans" w:eastAsia="Times New Roman" w:hAnsi="Open Sans" w:cs="Open Sans"/>
          <w:color w:val="0C0C0C"/>
          <w:sz w:val="27"/>
          <w:szCs w:val="27"/>
        </w:rPr>
        <w:t>Copy 3: Collector</w:t>
      </w:r>
      <w:r>
        <w:rPr>
          <w:rFonts w:ascii="Open Sans" w:eastAsia="Times New Roman" w:hAnsi="Open Sans" w:cs="Open Sans"/>
          <w:color w:val="0C0C0C"/>
          <w:sz w:val="27"/>
          <w:szCs w:val="27"/>
        </w:rPr>
        <w:t xml:space="preserve"> </w:t>
      </w:r>
      <w:r w:rsidRPr="00593960">
        <w:rPr>
          <w:rFonts w:ascii="Open Sans" w:eastAsia="Times New Roman" w:hAnsi="Open Sans" w:cs="Open Sans"/>
          <w:color w:val="0C0C0C"/>
          <w:sz w:val="27"/>
          <w:szCs w:val="27"/>
        </w:rPr>
        <w:t xml:space="preserve">Copy </w:t>
      </w:r>
    </w:p>
    <w:p w14:paraId="287DDEFB" w14:textId="77777777" w:rsidR="00593960" w:rsidRPr="00593960" w:rsidRDefault="00593960" w:rsidP="00FE4B31">
      <w:pPr>
        <w:numPr>
          <w:ilvl w:val="0"/>
          <w:numId w:val="5"/>
        </w:numPr>
        <w:shd w:val="clear" w:color="auto" w:fill="FFFFFF"/>
        <w:spacing w:after="450" w:line="240" w:lineRule="auto"/>
        <w:rPr>
          <w:rFonts w:ascii="Open Sans" w:hAnsi="Open Sans" w:cs="Open Sans"/>
          <w:color w:val="0C0C0C"/>
          <w:sz w:val="27"/>
          <w:szCs w:val="27"/>
        </w:rPr>
      </w:pPr>
      <w:r w:rsidRPr="00593960">
        <w:rPr>
          <w:rFonts w:ascii="Open Sans" w:eastAsia="Times New Roman" w:hAnsi="Open Sans" w:cs="Open Sans"/>
          <w:color w:val="0C0C0C"/>
          <w:sz w:val="27"/>
          <w:szCs w:val="27"/>
        </w:rPr>
        <w:t>4: Employer/DER</w:t>
      </w:r>
      <w:r w:rsidRPr="00593960">
        <w:rPr>
          <w:rFonts w:ascii="Open Sans" w:eastAsia="Times New Roman" w:hAnsi="Open Sans" w:cs="Open Sans"/>
          <w:color w:val="0C0C0C"/>
          <w:sz w:val="27"/>
          <w:szCs w:val="27"/>
        </w:rPr>
        <w:t xml:space="preserve"> </w:t>
      </w:r>
      <w:r w:rsidRPr="00593960">
        <w:rPr>
          <w:rFonts w:ascii="Open Sans" w:eastAsia="Times New Roman" w:hAnsi="Open Sans" w:cs="Open Sans"/>
          <w:color w:val="0C0C0C"/>
          <w:sz w:val="27"/>
          <w:szCs w:val="27"/>
        </w:rPr>
        <w:t>Cop</w:t>
      </w:r>
      <w:r w:rsidRPr="00593960">
        <w:rPr>
          <w:rFonts w:ascii="Open Sans" w:eastAsia="Times New Roman" w:hAnsi="Open Sans" w:cs="Open Sans"/>
          <w:color w:val="0C0C0C"/>
          <w:sz w:val="27"/>
          <w:szCs w:val="27"/>
        </w:rPr>
        <w:t>y</w:t>
      </w:r>
    </w:p>
    <w:p w14:paraId="4F7C3241" w14:textId="77777777" w:rsidR="00593960" w:rsidRPr="00593960" w:rsidRDefault="00593960" w:rsidP="00FE4B31">
      <w:pPr>
        <w:numPr>
          <w:ilvl w:val="0"/>
          <w:numId w:val="5"/>
        </w:numPr>
        <w:shd w:val="clear" w:color="auto" w:fill="FFFFFF"/>
        <w:spacing w:after="450" w:line="240" w:lineRule="auto"/>
        <w:rPr>
          <w:rFonts w:ascii="Open Sans" w:hAnsi="Open Sans" w:cs="Open Sans"/>
          <w:color w:val="0C0C0C"/>
          <w:sz w:val="27"/>
          <w:szCs w:val="27"/>
        </w:rPr>
      </w:pPr>
      <w:r w:rsidRPr="00593960">
        <w:rPr>
          <w:rFonts w:ascii="Open Sans" w:eastAsia="Times New Roman" w:hAnsi="Open Sans" w:cs="Open Sans"/>
          <w:color w:val="0C0C0C"/>
          <w:sz w:val="27"/>
          <w:szCs w:val="27"/>
        </w:rPr>
        <w:t xml:space="preserve">5: </w:t>
      </w:r>
      <w:proofErr w:type="spellStart"/>
      <w:r w:rsidRPr="00593960">
        <w:rPr>
          <w:rFonts w:ascii="Open Sans" w:eastAsia="Times New Roman" w:hAnsi="Open Sans" w:cs="Open Sans"/>
          <w:color w:val="0C0C0C"/>
          <w:sz w:val="27"/>
          <w:szCs w:val="27"/>
        </w:rPr>
        <w:t>Donor</w:t>
      </w:r>
      <w:proofErr w:type="spellEnd"/>
    </w:p>
    <w:p w14:paraId="62308A7B" w14:textId="6AA0C259" w:rsidR="00593960" w:rsidRDefault="00593960" w:rsidP="00593960">
      <w:pPr>
        <w:shd w:val="clear" w:color="auto" w:fill="FFFFFF"/>
        <w:spacing w:after="450" w:line="240" w:lineRule="auto"/>
        <w:ind w:left="720"/>
        <w:rPr>
          <w:rFonts w:ascii="Open Sans" w:hAnsi="Open Sans" w:cs="Open Sans"/>
          <w:color w:val="0C0C0C"/>
          <w:sz w:val="27"/>
          <w:szCs w:val="27"/>
        </w:rPr>
      </w:pPr>
      <w:r w:rsidRPr="00593960">
        <w:rPr>
          <w:rFonts w:ascii="Open Sans" w:hAnsi="Open Sans" w:cs="Open Sans"/>
          <w:color w:val="0C0C0C"/>
          <w:sz w:val="27"/>
          <w:szCs w:val="27"/>
        </w:rPr>
        <w:lastRenderedPageBreak/>
        <w:t>T</w:t>
      </w:r>
      <w:r>
        <w:rPr>
          <w:rFonts w:ascii="Open Sans" w:hAnsi="Open Sans" w:cs="Open Sans"/>
          <w:color w:val="0C0C0C"/>
          <w:sz w:val="27"/>
          <w:szCs w:val="27"/>
        </w:rPr>
        <w:t>he collector obtains a specimen from the donor, following the necessary steps and documenting them on the CCF.</w:t>
      </w:r>
    </w:p>
    <w:p w14:paraId="7B3D7250" w14:textId="77777777" w:rsidR="00593960" w:rsidRDefault="00593960" w:rsidP="00593960">
      <w:pPr>
        <w:pStyle w:val="NormalWeb"/>
        <w:shd w:val="clear" w:color="auto" w:fill="FFFFFF"/>
        <w:spacing w:before="0" w:beforeAutospacing="0" w:after="450" w:afterAutospacing="0"/>
        <w:rPr>
          <w:rFonts w:ascii="Open Sans" w:hAnsi="Open Sans" w:cs="Open Sans"/>
          <w:color w:val="0C0C0C"/>
          <w:sz w:val="27"/>
          <w:szCs w:val="27"/>
        </w:rPr>
      </w:pPr>
      <w:r>
        <w:rPr>
          <w:rFonts w:ascii="Open Sans" w:hAnsi="Open Sans" w:cs="Open Sans"/>
          <w:color w:val="0C0C0C"/>
          <w:sz w:val="27"/>
          <w:szCs w:val="27"/>
        </w:rPr>
        <w:t>The lab then receives the specimen and CCF from the collection site. They review the specimen and CCF for any potential errors, or “flaws,” in the testing process. Many of these flaws have to do with the chain of custody form. We will discuss these flaws shortly.</w:t>
      </w:r>
    </w:p>
    <w:p w14:paraId="7F575AE6" w14:textId="77777777" w:rsidR="00593960" w:rsidRDefault="00593960" w:rsidP="00593960">
      <w:pPr>
        <w:pStyle w:val="NormalWeb"/>
        <w:shd w:val="clear" w:color="auto" w:fill="FFFFFF"/>
        <w:spacing w:before="0" w:beforeAutospacing="0" w:after="450" w:afterAutospacing="0"/>
        <w:rPr>
          <w:rFonts w:ascii="Open Sans" w:hAnsi="Open Sans" w:cs="Open Sans"/>
          <w:color w:val="0C0C0C"/>
          <w:sz w:val="27"/>
          <w:szCs w:val="27"/>
        </w:rPr>
      </w:pPr>
      <w:r>
        <w:rPr>
          <w:rFonts w:ascii="Open Sans" w:hAnsi="Open Sans" w:cs="Open Sans"/>
          <w:color w:val="0C0C0C"/>
          <w:sz w:val="27"/>
          <w:szCs w:val="27"/>
        </w:rPr>
        <w:t>They then correct any flaws, if possible; if not, then they reject the specimen for testing. Once corrected, though, they test the specimen.</w:t>
      </w:r>
    </w:p>
    <w:p w14:paraId="554722DD" w14:textId="77777777" w:rsidR="00593960" w:rsidRDefault="00593960" w:rsidP="00593960">
      <w:pPr>
        <w:pStyle w:val="NormalWeb"/>
        <w:shd w:val="clear" w:color="auto" w:fill="FFFFFF"/>
        <w:spacing w:before="0" w:beforeAutospacing="0" w:after="450" w:afterAutospacing="0"/>
        <w:rPr>
          <w:rFonts w:ascii="Open Sans" w:hAnsi="Open Sans" w:cs="Open Sans"/>
          <w:color w:val="0C0C0C"/>
          <w:sz w:val="27"/>
          <w:szCs w:val="27"/>
        </w:rPr>
      </w:pPr>
      <w:r>
        <w:rPr>
          <w:rFonts w:ascii="Open Sans" w:hAnsi="Open Sans" w:cs="Open Sans"/>
          <w:color w:val="0C0C0C"/>
          <w:sz w:val="27"/>
          <w:szCs w:val="27"/>
        </w:rPr>
        <w:t>After testing, they send their results along with a completed Copy 1 of the CCF to the MRO. The MRO then reviews the CCF for errors, investigates any potential issues or flaws, and verifies the lab result. If the MRO finds errors that cannot be fixed, they must cancel the test.</w:t>
      </w:r>
    </w:p>
    <w:p w14:paraId="25115520" w14:textId="77777777" w:rsidR="00593960" w:rsidRDefault="00593960" w:rsidP="00593960">
      <w:pPr>
        <w:pStyle w:val="NormalWeb"/>
        <w:shd w:val="clear" w:color="auto" w:fill="FFFFFF"/>
        <w:spacing w:before="0" w:beforeAutospacing="0" w:after="450" w:afterAutospacing="0"/>
        <w:rPr>
          <w:rFonts w:ascii="Open Sans" w:hAnsi="Open Sans" w:cs="Open Sans"/>
          <w:color w:val="0C0C0C"/>
          <w:sz w:val="27"/>
          <w:szCs w:val="27"/>
        </w:rPr>
      </w:pPr>
      <w:r>
        <w:rPr>
          <w:rFonts w:ascii="Open Sans" w:hAnsi="Open Sans" w:cs="Open Sans"/>
          <w:color w:val="0C0C0C"/>
          <w:sz w:val="27"/>
          <w:szCs w:val="27"/>
        </w:rPr>
        <w:t>The MRO then interviews the donor and sends the verified results to the employer.</w:t>
      </w:r>
    </w:p>
    <w:p w14:paraId="24FB6220" w14:textId="77777777" w:rsidR="00593960" w:rsidRDefault="00593960" w:rsidP="00593960">
      <w:pPr>
        <w:pStyle w:val="NormalWeb"/>
        <w:shd w:val="clear" w:color="auto" w:fill="FFFFFF"/>
        <w:spacing w:before="0" w:beforeAutospacing="0" w:after="450" w:afterAutospacing="0"/>
        <w:rPr>
          <w:rFonts w:ascii="Open Sans" w:hAnsi="Open Sans" w:cs="Open Sans"/>
          <w:color w:val="0C0C0C"/>
          <w:sz w:val="27"/>
          <w:szCs w:val="27"/>
        </w:rPr>
      </w:pPr>
      <w:r>
        <w:rPr>
          <w:rFonts w:ascii="Open Sans" w:hAnsi="Open Sans" w:cs="Open Sans"/>
          <w:color w:val="0C0C0C"/>
          <w:sz w:val="27"/>
          <w:szCs w:val="27"/>
        </w:rPr>
        <w:t>The CCF provides a paper trail of the collection, analysis, verification, and receipt of test results. At each step, this paper trail is reviewed for potential errors.</w:t>
      </w:r>
    </w:p>
    <w:p w14:paraId="1A1994C2" w14:textId="77777777" w:rsidR="00593960" w:rsidRPr="00593960" w:rsidRDefault="00593960" w:rsidP="00A37371">
      <w:pPr>
        <w:shd w:val="clear" w:color="auto" w:fill="FFFFFF"/>
        <w:spacing w:before="100" w:beforeAutospacing="1" w:after="100" w:afterAutospacing="1" w:line="240" w:lineRule="auto"/>
        <w:ind w:left="720"/>
        <w:rPr>
          <w:rFonts w:ascii="Open Sans" w:eastAsia="Times New Roman" w:hAnsi="Open Sans" w:cs="Open Sans"/>
          <w:color w:val="0C0C0C"/>
          <w:sz w:val="27"/>
          <w:szCs w:val="27"/>
        </w:rPr>
      </w:pPr>
    </w:p>
    <w:p w14:paraId="1500C8FF" w14:textId="77777777" w:rsidR="00D46C84" w:rsidRDefault="00D46C84"/>
    <w:sectPr w:rsidR="00D46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ormorant garamond">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F7864"/>
    <w:multiLevelType w:val="multilevel"/>
    <w:tmpl w:val="CFB4A1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209D2"/>
    <w:multiLevelType w:val="multilevel"/>
    <w:tmpl w:val="02000F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E7753"/>
    <w:multiLevelType w:val="multilevel"/>
    <w:tmpl w:val="E60CEF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F413C"/>
    <w:multiLevelType w:val="multilevel"/>
    <w:tmpl w:val="A41A1FB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67670"/>
    <w:multiLevelType w:val="multilevel"/>
    <w:tmpl w:val="EAFA2F0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503"/>
    <w:rsid w:val="00144503"/>
    <w:rsid w:val="002950E8"/>
    <w:rsid w:val="003C5B28"/>
    <w:rsid w:val="00593960"/>
    <w:rsid w:val="00A37371"/>
    <w:rsid w:val="00D4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C66D"/>
  <w15:chartTrackingRefBased/>
  <w15:docId w15:val="{A23AD00C-B2A4-45EF-B13B-C661FB57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39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8871">
      <w:bodyDiv w:val="1"/>
      <w:marLeft w:val="0"/>
      <w:marRight w:val="0"/>
      <w:marTop w:val="0"/>
      <w:marBottom w:val="0"/>
      <w:divBdr>
        <w:top w:val="none" w:sz="0" w:space="0" w:color="auto"/>
        <w:left w:val="none" w:sz="0" w:space="0" w:color="auto"/>
        <w:bottom w:val="none" w:sz="0" w:space="0" w:color="auto"/>
        <w:right w:val="none" w:sz="0" w:space="0" w:color="auto"/>
      </w:divBdr>
    </w:div>
    <w:div w:id="142817470">
      <w:bodyDiv w:val="1"/>
      <w:marLeft w:val="0"/>
      <w:marRight w:val="0"/>
      <w:marTop w:val="0"/>
      <w:marBottom w:val="0"/>
      <w:divBdr>
        <w:top w:val="none" w:sz="0" w:space="0" w:color="auto"/>
        <w:left w:val="none" w:sz="0" w:space="0" w:color="auto"/>
        <w:bottom w:val="none" w:sz="0" w:space="0" w:color="auto"/>
        <w:right w:val="none" w:sz="0" w:space="0" w:color="auto"/>
      </w:divBdr>
    </w:div>
    <w:div w:id="1463573613">
      <w:bodyDiv w:val="1"/>
      <w:marLeft w:val="0"/>
      <w:marRight w:val="0"/>
      <w:marTop w:val="0"/>
      <w:marBottom w:val="0"/>
      <w:divBdr>
        <w:top w:val="none" w:sz="0" w:space="0" w:color="auto"/>
        <w:left w:val="none" w:sz="0" w:space="0" w:color="auto"/>
        <w:bottom w:val="none" w:sz="0" w:space="0" w:color="auto"/>
        <w:right w:val="none" w:sz="0" w:space="0" w:color="auto"/>
      </w:divBdr>
    </w:div>
    <w:div w:id="1482582365">
      <w:bodyDiv w:val="1"/>
      <w:marLeft w:val="0"/>
      <w:marRight w:val="0"/>
      <w:marTop w:val="0"/>
      <w:marBottom w:val="0"/>
      <w:divBdr>
        <w:top w:val="none" w:sz="0" w:space="0" w:color="auto"/>
        <w:left w:val="none" w:sz="0" w:space="0" w:color="auto"/>
        <w:bottom w:val="none" w:sz="0" w:space="0" w:color="auto"/>
        <w:right w:val="none" w:sz="0" w:space="0" w:color="auto"/>
      </w:divBdr>
    </w:div>
    <w:div w:id="1865288746">
      <w:bodyDiv w:val="1"/>
      <w:marLeft w:val="0"/>
      <w:marRight w:val="0"/>
      <w:marTop w:val="0"/>
      <w:marBottom w:val="0"/>
      <w:divBdr>
        <w:top w:val="none" w:sz="0" w:space="0" w:color="auto"/>
        <w:left w:val="none" w:sz="0" w:space="0" w:color="auto"/>
        <w:bottom w:val="none" w:sz="0" w:space="0" w:color="auto"/>
        <w:right w:val="none" w:sz="0" w:space="0" w:color="auto"/>
      </w:divBdr>
    </w:div>
    <w:div w:id="191477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ugfreebiz.com/der/the-6-main-roles-of-the-designated-employer-representative/" TargetMode="External"/><Relationship Id="rId5" Type="http://schemas.openxmlformats.org/officeDocument/2006/relationships/hyperlink" Target="https://www.samhsa.gov/sites/default/files/workplace/frn_vol_82_7920_.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LaCapria</dc:creator>
  <cp:keywords/>
  <dc:description/>
  <cp:lastModifiedBy>Joseph LaCapria</cp:lastModifiedBy>
  <cp:revision>2</cp:revision>
  <dcterms:created xsi:type="dcterms:W3CDTF">2022-04-06T16:55:00Z</dcterms:created>
  <dcterms:modified xsi:type="dcterms:W3CDTF">2022-04-06T16:55:00Z</dcterms:modified>
</cp:coreProperties>
</file>