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61727C2" w14:textId="77777777" w:rsidR="00D7255A" w:rsidRPr="003626E4" w:rsidRDefault="00D7255A" w:rsidP="003626E4"/>
    <w:p w14:paraId="315D1C69" w14:textId="77777777" w:rsidR="00262B69" w:rsidRDefault="0078143D">
      <w:r>
        <w:rPr>
          <w:b/>
        </w:rPr>
        <w:t>Change Summary – CMC / Federal Realty Documents</w:t>
      </w:r>
    </w:p>
    <w:p w14:paraId="5C17C74D" w14:textId="77777777" w:rsidR="00262B69" w:rsidRDefault="0078143D">
      <w:r>
        <w:t>Prepared by: Sergei Tokmakov, Esq.</w:t>
      </w:r>
    </w:p>
    <w:p w14:paraId="1745C90A" w14:textId="77777777" w:rsidR="00262B69" w:rsidRDefault="0078143D">
      <w:r>
        <w:t>Date: December 23, 2025</w:t>
      </w:r>
    </w:p>
    <w:p w14:paraId="6B3E45F8" w14:textId="77777777" w:rsidR="00262B69" w:rsidRDefault="00262B69"/>
    <w:p w14:paraId="4F0F23EB" w14:textId="77777777" w:rsidR="00262B69" w:rsidRDefault="0078143D">
      <w:r>
        <w:t xml:space="preserve">Deliverables are clean copies (no redlines) per client preference and for document stability. This Change Summary serves as the "what </w:t>
      </w:r>
      <w:r>
        <w:t>changed / why" memo. Notes focus on enforceability, allocation of risk and control, and avoiding overpromises that could expose Licensee to liability or disputes.</w:t>
      </w:r>
    </w:p>
    <w:p w14:paraId="12E1CCB5" w14:textId="77777777" w:rsidR="00262B69" w:rsidRDefault="00262B69"/>
    <w:p w14:paraId="7B770987" w14:textId="77777777" w:rsidR="00262B69" w:rsidRDefault="0078143D">
      <w:r>
        <w:rPr>
          <w:b/>
        </w:rPr>
        <w:t>1. One-Pagers and Letters of Authorization</w:t>
      </w:r>
    </w:p>
    <w:p w14:paraId="20B56EB7" w14:textId="77777777" w:rsidR="00262B69" w:rsidRDefault="00262B69"/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004"/>
        <w:gridCol w:w="3005"/>
        <w:gridCol w:w="3007"/>
      </w:tblGrid>
      <w:tr w:rsidR="00262B69" w14:paraId="5EC2CEFD" w14:textId="77777777">
        <w:tc>
          <w:tcPr>
            <w:tcW w:w="3009" w:type="dxa"/>
            <w:shd w:val="clear" w:color="auto" w:fill="D9D9D9"/>
          </w:tcPr>
          <w:p w14:paraId="6B6520E5" w14:textId="77777777" w:rsidR="00262B69" w:rsidRDefault="0078143D">
            <w:r>
              <w:t>Document</w:t>
            </w:r>
          </w:p>
        </w:tc>
        <w:tc>
          <w:tcPr>
            <w:tcW w:w="3009" w:type="dxa"/>
            <w:shd w:val="clear" w:color="auto" w:fill="D9D9D9"/>
          </w:tcPr>
          <w:p w14:paraId="21ABD6CC" w14:textId="77777777" w:rsidR="00262B69" w:rsidRDefault="0078143D">
            <w:r>
              <w:t>Change</w:t>
            </w:r>
          </w:p>
        </w:tc>
        <w:tc>
          <w:tcPr>
            <w:tcW w:w="3009" w:type="dxa"/>
            <w:shd w:val="clear" w:color="auto" w:fill="D9D9D9"/>
          </w:tcPr>
          <w:p w14:paraId="585C0F46" w14:textId="77777777" w:rsidR="00262B69" w:rsidRDefault="0078143D">
            <w:r>
              <w:t>Rationale</w:t>
            </w:r>
          </w:p>
        </w:tc>
      </w:tr>
      <w:tr w:rsidR="00262B69" w14:paraId="6172345A" w14:textId="77777777">
        <w:tc>
          <w:tcPr>
            <w:tcW w:w="3009" w:type="dxa"/>
          </w:tcPr>
          <w:p w14:paraId="728BA297" w14:textId="77777777" w:rsidR="00262B69" w:rsidRDefault="0078143D">
            <w:r>
              <w:t xml:space="preserve">STAGE 2 – Transition </w:t>
            </w:r>
            <w:r>
              <w:t>Notice</w:t>
            </w:r>
          </w:p>
        </w:tc>
        <w:tc>
          <w:tcPr>
            <w:tcW w:w="3009" w:type="dxa"/>
          </w:tcPr>
          <w:p w14:paraId="71E95D29" w14:textId="77777777" w:rsidR="00262B69" w:rsidRDefault="0078143D">
            <w:r>
              <w:t>• "account manager" → "authorized agent"</w:t>
            </w:r>
            <w:r>
              <w:br/>
              <w:t>• O'Keefe identified by full name and title</w:t>
            </w:r>
          </w:p>
        </w:tc>
        <w:tc>
          <w:tcPr>
            <w:tcW w:w="3009" w:type="dxa"/>
          </w:tcPr>
          <w:p w14:paraId="20A7D3B9" w14:textId="77777777" w:rsidR="00262B69" w:rsidRDefault="0078143D">
            <w:r>
              <w:t>Strengthens authorization clarity; eliminates ambiguity about scope of delegated authority</w:t>
            </w:r>
          </w:p>
        </w:tc>
      </w:tr>
      <w:tr w:rsidR="00262B69" w14:paraId="13B37666" w14:textId="77777777">
        <w:tc>
          <w:tcPr>
            <w:tcW w:w="3009" w:type="dxa"/>
          </w:tcPr>
          <w:p w14:paraId="754F39DB" w14:textId="77777777" w:rsidR="00262B69" w:rsidRDefault="0078143D">
            <w:r>
              <w:t>STAGE 3 – Tenant Update</w:t>
            </w:r>
          </w:p>
        </w:tc>
        <w:tc>
          <w:tcPr>
            <w:tcW w:w="3009" w:type="dxa"/>
          </w:tcPr>
          <w:p w14:paraId="7B6B8C9A" w14:textId="77777777" w:rsidR="00262B69" w:rsidRDefault="0078143D">
            <w:r>
              <w:t>• Softened absolute statements</w:t>
            </w:r>
            <w:r>
              <w:br/>
              <w:t xml:space="preserve">• Fixed </w:t>
            </w:r>
            <w:r>
              <w:t>grammar</w:t>
            </w:r>
            <w:r>
              <w:br/>
              <w:t>• Added expectation language ("we do not expect any changes at this time")</w:t>
            </w:r>
          </w:p>
        </w:tc>
        <w:tc>
          <w:tcPr>
            <w:tcW w:w="3009" w:type="dxa"/>
          </w:tcPr>
          <w:p w14:paraId="67FDEE7F" w14:textId="77777777" w:rsidR="00262B69" w:rsidRDefault="0078143D">
            <w:r>
              <w:t>Reduces reliance claims if service terms change; avoids guaranteeing third-party performance</w:t>
            </w:r>
          </w:p>
        </w:tc>
      </w:tr>
      <w:tr w:rsidR="00262B69" w14:paraId="4D7A479C" w14:textId="77777777">
        <w:tc>
          <w:tcPr>
            <w:tcW w:w="3009" w:type="dxa"/>
          </w:tcPr>
          <w:p w14:paraId="66D1EEFC" w14:textId="77777777" w:rsidR="00262B69" w:rsidRDefault="0078143D">
            <w:r>
              <w:t>STAGE 4 – Intro Email</w:t>
            </w:r>
          </w:p>
        </w:tc>
        <w:tc>
          <w:tcPr>
            <w:tcW w:w="3009" w:type="dxa"/>
          </w:tcPr>
          <w:p w14:paraId="1ECA21C6" w14:textId="77777777" w:rsidR="00262B69" w:rsidRDefault="0078143D">
            <w:r>
              <w:t>• "program management and coordination"</w:t>
            </w:r>
            <w:r>
              <w:br/>
              <w:t>• Added protectio</w:t>
            </w:r>
            <w:r>
              <w:t>n line</w:t>
            </w:r>
          </w:p>
        </w:tc>
        <w:tc>
          <w:tcPr>
            <w:tcW w:w="3009" w:type="dxa"/>
          </w:tcPr>
          <w:p w14:paraId="4B7E75CE" w14:textId="77777777" w:rsidR="00262B69" w:rsidRDefault="0078143D">
            <w:r>
              <w:t>Clarifies CMC's role as coordinator (not guarantor); protects against complaints about hauler performance</w:t>
            </w:r>
          </w:p>
        </w:tc>
      </w:tr>
      <w:tr w:rsidR="00262B69" w14:paraId="234E7AB9" w14:textId="77777777">
        <w:tc>
          <w:tcPr>
            <w:tcW w:w="3009" w:type="dxa"/>
          </w:tcPr>
          <w:p w14:paraId="671A1B76" w14:textId="77777777" w:rsidR="00262B69" w:rsidRDefault="0078143D">
            <w:r>
              <w:t>LOA – Republic</w:t>
            </w:r>
          </w:p>
        </w:tc>
        <w:tc>
          <w:tcPr>
            <w:tcW w:w="3009" w:type="dxa"/>
          </w:tcPr>
          <w:p w14:paraId="6F9C7E5E" w14:textId="77777777" w:rsidR="00262B69" w:rsidRDefault="0078143D">
            <w:r>
              <w:t>• Added reliance language</w:t>
            </w:r>
            <w:r>
              <w:br/>
              <w:t>• Non-renewal notice + confirmation request</w:t>
            </w:r>
            <w:r>
              <w:br/>
              <w:t>• Rights reservation + no-waiver</w:t>
            </w:r>
          </w:p>
        </w:tc>
        <w:tc>
          <w:tcPr>
            <w:tcW w:w="3009" w:type="dxa"/>
          </w:tcPr>
          <w:p w14:paraId="61A8C9B1" w14:textId="77777777" w:rsidR="00262B69" w:rsidRDefault="0078143D">
            <w:r>
              <w:t>Reduces risk of unintend</w:t>
            </w:r>
            <w:r>
              <w:t>ed auto-renewal; strengthens reliance/authorization for data release and coordination; preserves rights via reservation/no-waiver language</w:t>
            </w:r>
          </w:p>
        </w:tc>
      </w:tr>
      <w:tr w:rsidR="00262B69" w14:paraId="0978A75D" w14:textId="77777777">
        <w:tc>
          <w:tcPr>
            <w:tcW w:w="3009" w:type="dxa"/>
          </w:tcPr>
          <w:p w14:paraId="14C6C282" w14:textId="77777777" w:rsidR="00262B69" w:rsidRDefault="0078143D">
            <w:r>
              <w:t>LOA – Copia</w:t>
            </w:r>
          </w:p>
        </w:tc>
        <w:tc>
          <w:tcPr>
            <w:tcW w:w="3009" w:type="dxa"/>
          </w:tcPr>
          <w:p w14:paraId="2820AAA7" w14:textId="77777777" w:rsidR="00262B69" w:rsidRDefault="0078143D">
            <w:r>
              <w:t>• Same as Republic</w:t>
            </w:r>
            <w:r>
              <w:br/>
              <w:t>• Removed vague termination language</w:t>
            </w:r>
          </w:p>
        </w:tc>
        <w:tc>
          <w:tcPr>
            <w:tcW w:w="3009" w:type="dxa"/>
          </w:tcPr>
          <w:p w14:paraId="083F8FB4" w14:textId="77777777" w:rsidR="00262B69" w:rsidRDefault="0078143D">
            <w:r>
              <w:t>Consistent treatment; eliminates authority/data-</w:t>
            </w:r>
            <w:r>
              <w:t>release friction</w:t>
            </w:r>
          </w:p>
        </w:tc>
      </w:tr>
    </w:tbl>
    <w:p w14:paraId="74B94C63" w14:textId="70A7AB91" w:rsidR="00262B69" w:rsidRDefault="00262B69"/>
    <w:p w14:paraId="6B6DC053" w14:textId="6C782AA8" w:rsidR="00EF42AA" w:rsidRDefault="00EF42AA"/>
    <w:p w14:paraId="59096EA2" w14:textId="77777777" w:rsidR="00EF42AA" w:rsidRDefault="00EF42AA">
      <w:bookmarkStart w:id="0" w:name="_GoBack"/>
      <w:bookmarkEnd w:id="0"/>
    </w:p>
    <w:p w14:paraId="03B45540" w14:textId="77777777" w:rsidR="00262B69" w:rsidRDefault="0078143D">
      <w:r>
        <w:rPr>
          <w:b/>
        </w:rPr>
        <w:lastRenderedPageBreak/>
        <w:t>2. Trash Pad License Agreement</w:t>
      </w:r>
    </w:p>
    <w:p w14:paraId="38371F4A" w14:textId="77777777" w:rsidR="00262B69" w:rsidRDefault="00262B69"/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004"/>
        <w:gridCol w:w="3004"/>
        <w:gridCol w:w="3008"/>
      </w:tblGrid>
      <w:tr w:rsidR="00262B69" w14:paraId="2FEB3072" w14:textId="77777777">
        <w:tc>
          <w:tcPr>
            <w:tcW w:w="3009" w:type="dxa"/>
            <w:shd w:val="clear" w:color="auto" w:fill="D9D9D9"/>
          </w:tcPr>
          <w:p w14:paraId="35B825B6" w14:textId="77777777" w:rsidR="00262B69" w:rsidRDefault="0078143D">
            <w:r>
              <w:t>Section</w:t>
            </w:r>
          </w:p>
        </w:tc>
        <w:tc>
          <w:tcPr>
            <w:tcW w:w="3009" w:type="dxa"/>
            <w:shd w:val="clear" w:color="auto" w:fill="D9D9D9"/>
          </w:tcPr>
          <w:p w14:paraId="748B8A0F" w14:textId="77777777" w:rsidR="00262B69" w:rsidRDefault="0078143D">
            <w:r>
              <w:t>Change</w:t>
            </w:r>
          </w:p>
        </w:tc>
        <w:tc>
          <w:tcPr>
            <w:tcW w:w="3009" w:type="dxa"/>
            <w:shd w:val="clear" w:color="auto" w:fill="D9D9D9"/>
          </w:tcPr>
          <w:p w14:paraId="283C6493" w14:textId="77777777" w:rsidR="00262B69" w:rsidRDefault="0078143D">
            <w:r>
              <w:t>Rationale</w:t>
            </w:r>
          </w:p>
        </w:tc>
      </w:tr>
      <w:tr w:rsidR="00262B69" w14:paraId="5053C0A5" w14:textId="77777777">
        <w:tc>
          <w:tcPr>
            <w:tcW w:w="3009" w:type="dxa"/>
          </w:tcPr>
          <w:p w14:paraId="6CAE6578" w14:textId="77777777" w:rsidR="00262B69" w:rsidRDefault="0078143D">
            <w:r>
              <w:t>TERM (Section 3)</w:t>
            </w:r>
          </w:p>
        </w:tc>
        <w:tc>
          <w:tcPr>
            <w:tcW w:w="3009" w:type="dxa"/>
          </w:tcPr>
          <w:p w14:paraId="7977A78C" w14:textId="77777777" w:rsidR="00262B69" w:rsidRDefault="0078143D">
            <w:r>
              <w:t>• Fixed malformed clause</w:t>
            </w:r>
            <w:r>
              <w:br/>
              <w:t>• Defined Initial Term</w:t>
            </w:r>
            <w:r>
              <w:br/>
              <w:t>• 90-day mutual termination after Year 1</w:t>
            </w:r>
          </w:p>
        </w:tc>
        <w:tc>
          <w:tcPr>
            <w:tcW w:w="3009" w:type="dxa"/>
          </w:tcPr>
          <w:p w14:paraId="7E63A8E8" w14:textId="77777777" w:rsidR="00262B69" w:rsidRDefault="0078143D">
            <w:r>
              <w:t xml:space="preserve">Aligns termination mechanics with parties' business intent; </w:t>
            </w:r>
            <w:r>
              <w:t>eliminates conflicting term/renewal/termination pathways; creates predictable exit right for Licensee while preserving Grantor's convenience termination</w:t>
            </w:r>
          </w:p>
        </w:tc>
      </w:tr>
      <w:tr w:rsidR="00262B69" w14:paraId="458B87D5" w14:textId="77777777">
        <w:tc>
          <w:tcPr>
            <w:tcW w:w="3009" w:type="dxa"/>
          </w:tcPr>
          <w:p w14:paraId="3812573A" w14:textId="77777777" w:rsidR="00262B69" w:rsidRDefault="0078143D">
            <w:r>
              <w:t>PAD LICENSE FEE (Section 4)</w:t>
            </w:r>
          </w:p>
        </w:tc>
        <w:tc>
          <w:tcPr>
            <w:tcW w:w="3009" w:type="dxa"/>
          </w:tcPr>
          <w:p w14:paraId="32A92B61" w14:textId="77777777" w:rsidR="00262B69" w:rsidRDefault="0078143D">
            <w:r>
              <w:t>• Escalation: 5% → 3%</w:t>
            </w:r>
          </w:p>
        </w:tc>
        <w:tc>
          <w:tcPr>
            <w:tcW w:w="3009" w:type="dxa"/>
          </w:tcPr>
          <w:p w14:paraId="1EF203E1" w14:textId="77777777" w:rsidR="00262B69" w:rsidRDefault="0078143D">
            <w:r>
              <w:t xml:space="preserve">Brings escalation to commercially reasonable range; </w:t>
            </w:r>
            <w:r>
              <w:t>reduces risk of objection/renegotiation and avoids optics of aggressive escalator</w:t>
            </w:r>
          </w:p>
        </w:tc>
      </w:tr>
      <w:tr w:rsidR="00262B69" w14:paraId="041CD75B" w14:textId="77777777">
        <w:tc>
          <w:tcPr>
            <w:tcW w:w="3009" w:type="dxa"/>
          </w:tcPr>
          <w:p w14:paraId="14E6DFF5" w14:textId="77777777" w:rsidR="00262B69" w:rsidRDefault="0078143D">
            <w:r>
              <w:t>REPORTING (Section 5)</w:t>
            </w:r>
          </w:p>
        </w:tc>
        <w:tc>
          <w:tcPr>
            <w:tcW w:w="3009" w:type="dxa"/>
          </w:tcPr>
          <w:p w14:paraId="782A6ADB" w14:textId="77777777" w:rsidR="00262B69" w:rsidRDefault="0078143D">
            <w:r>
              <w:t>• Limited to hauler-provided data</w:t>
            </w:r>
            <w:r>
              <w:br/>
              <w:t>• No certification or guarantee</w:t>
            </w:r>
          </w:p>
        </w:tc>
        <w:tc>
          <w:tcPr>
            <w:tcW w:w="3009" w:type="dxa"/>
          </w:tcPr>
          <w:p w14:paraId="0E523DE3" w14:textId="77777777" w:rsidR="00262B69" w:rsidRDefault="0078143D">
            <w:r>
              <w:t xml:space="preserve">Prevents Licensee from inadvertently guaranteeing regulatory reporting or </w:t>
            </w:r>
            <w:r>
              <w:t>tonnage figures outside its control; ties reporting to hauler-provided data and avoids certification exposure</w:t>
            </w:r>
          </w:p>
        </w:tc>
      </w:tr>
      <w:tr w:rsidR="00262B69" w14:paraId="789D3B38" w14:textId="77777777">
        <w:tc>
          <w:tcPr>
            <w:tcW w:w="3009" w:type="dxa"/>
          </w:tcPr>
          <w:p w14:paraId="617E5FC6" w14:textId="77777777" w:rsidR="00262B69" w:rsidRDefault="0078143D">
            <w:r>
              <w:t>TERMINATION (Section 6)</w:t>
            </w:r>
          </w:p>
        </w:tc>
        <w:tc>
          <w:tcPr>
            <w:tcW w:w="3009" w:type="dxa"/>
          </w:tcPr>
          <w:p w14:paraId="482D2517" w14:textId="77777777" w:rsidR="00262B69" w:rsidRDefault="0078143D">
            <w:r>
              <w:t>• Added reimbursement for early termination</w:t>
            </w:r>
          </w:p>
        </w:tc>
        <w:tc>
          <w:tcPr>
            <w:tcW w:w="3009" w:type="dxa"/>
          </w:tcPr>
          <w:p w14:paraId="06F4CE5B" w14:textId="77777777" w:rsidR="00262B69" w:rsidRDefault="0078143D">
            <w:r>
              <w:t>Prevents unjust enrichment / stranded-cost disputes if Grantor terminates ear</w:t>
            </w:r>
            <w:r>
              <w:t>ly; allocates sunk project costs fairly and reduces hold-up risk</w:t>
            </w:r>
          </w:p>
        </w:tc>
      </w:tr>
      <w:tr w:rsidR="00262B69" w14:paraId="72E281A6" w14:textId="77777777">
        <w:tc>
          <w:tcPr>
            <w:tcW w:w="3009" w:type="dxa"/>
          </w:tcPr>
          <w:p w14:paraId="42F5BC18" w14:textId="77777777" w:rsidR="00262B69" w:rsidRDefault="0078143D">
            <w:r>
              <w:t>CONDITION (Section 8)</w:t>
            </w:r>
          </w:p>
        </w:tc>
        <w:tc>
          <w:tcPr>
            <w:tcW w:w="3009" w:type="dxa"/>
          </w:tcPr>
          <w:p w14:paraId="683DBC28" w14:textId="77777777" w:rsidR="00262B69" w:rsidRDefault="0078143D">
            <w:r>
              <w:t>• Tied to approved scope of work</w:t>
            </w:r>
          </w:p>
        </w:tc>
        <w:tc>
          <w:tcPr>
            <w:tcW w:w="3009" w:type="dxa"/>
          </w:tcPr>
          <w:p w14:paraId="236849C3" w14:textId="77777777" w:rsidR="00262B69" w:rsidRDefault="0078143D">
            <w:r>
              <w:t>Avoids scope creep; prevents later arguments that Licensee must fund unspecified modifications not included in approved scope</w:t>
            </w:r>
          </w:p>
        </w:tc>
      </w:tr>
      <w:tr w:rsidR="00262B69" w14:paraId="1664AF24" w14:textId="77777777">
        <w:tc>
          <w:tcPr>
            <w:tcW w:w="3009" w:type="dxa"/>
          </w:tcPr>
          <w:p w14:paraId="7694A5E7" w14:textId="77777777" w:rsidR="00262B69" w:rsidRDefault="0078143D">
            <w:r>
              <w:t>DEFAULTS</w:t>
            </w:r>
            <w:r>
              <w:t xml:space="preserve"> (Section 9)</w:t>
            </w:r>
          </w:p>
        </w:tc>
        <w:tc>
          <w:tcPr>
            <w:tcW w:w="3009" w:type="dxa"/>
          </w:tcPr>
          <w:p w14:paraId="3FAD7EA3" w14:textId="77777777" w:rsidR="00262B69" w:rsidRDefault="0078143D">
            <w:r>
              <w:t>• 30-day cure period</w:t>
            </w:r>
            <w:r>
              <w:br/>
              <w:t>• 48-hour limited to emergencies</w:t>
            </w:r>
            <w:r>
              <w:br/>
              <w:t>• No seizure of equipment</w:t>
            </w:r>
          </w:p>
        </w:tc>
        <w:tc>
          <w:tcPr>
            <w:tcW w:w="3009" w:type="dxa"/>
          </w:tcPr>
          <w:p w14:paraId="7DE00675" w14:textId="77777777" w:rsidR="00262B69" w:rsidRDefault="0078143D">
            <w:r>
              <w:t>Replaces lease-style self-help seizure posture with standard notice-and-cure framework; limits accelerated termination to genuine health/safety/environment emergen</w:t>
            </w:r>
            <w:r>
              <w:t xml:space="preserve">cies; reduces </w:t>
            </w:r>
            <w:r>
              <w:lastRenderedPageBreak/>
              <w:t>conversion/trespass exposure</w:t>
            </w:r>
          </w:p>
        </w:tc>
      </w:tr>
      <w:tr w:rsidR="00262B69" w14:paraId="0053F39C" w14:textId="77777777">
        <w:tc>
          <w:tcPr>
            <w:tcW w:w="3009" w:type="dxa"/>
          </w:tcPr>
          <w:p w14:paraId="2F9FBCA4" w14:textId="77777777" w:rsidR="00262B69" w:rsidRDefault="0078143D">
            <w:r>
              <w:lastRenderedPageBreak/>
              <w:t>INSURANCE (Section 10)</w:t>
            </w:r>
          </w:p>
        </w:tc>
        <w:tc>
          <w:tcPr>
            <w:tcW w:w="3009" w:type="dxa"/>
          </w:tcPr>
          <w:p w14:paraId="1E149AC6" w14:textId="77777777" w:rsidR="00262B69" w:rsidRDefault="0078143D">
            <w:r>
              <w:t>• Defined Indemnified Parties inline</w:t>
            </w:r>
            <w:r>
              <w:br/>
              <w:t>• Made subject to DEFAULTS cure framework</w:t>
            </w:r>
          </w:p>
        </w:tc>
        <w:tc>
          <w:tcPr>
            <w:tcW w:w="3009" w:type="dxa"/>
          </w:tcPr>
          <w:p w14:paraId="17826471" w14:textId="77777777" w:rsidR="00262B69" w:rsidRDefault="0078143D">
            <w:r>
              <w:t xml:space="preserve">Eliminates ambiguity about who is covered; harmonizes insurance default with overall cure framework </w:t>
            </w:r>
            <w:r>
              <w:t>rather than allowing immediate termination</w:t>
            </w:r>
          </w:p>
        </w:tc>
      </w:tr>
      <w:tr w:rsidR="00262B69" w14:paraId="6917FBB0" w14:textId="77777777">
        <w:tc>
          <w:tcPr>
            <w:tcW w:w="3009" w:type="dxa"/>
          </w:tcPr>
          <w:p w14:paraId="2FB54FC3" w14:textId="77777777" w:rsidR="00262B69" w:rsidRDefault="0078143D">
            <w:r>
              <w:t>INDEMNITY (Section 12)</w:t>
            </w:r>
          </w:p>
        </w:tc>
        <w:tc>
          <w:tcPr>
            <w:tcW w:w="3009" w:type="dxa"/>
          </w:tcPr>
          <w:p w14:paraId="59C1A622" w14:textId="77777777" w:rsidR="00262B69" w:rsidRDefault="0078143D">
            <w:r>
              <w:t>• Comparative fault standard ("to the extent caused")</w:t>
            </w:r>
            <w:r>
              <w:br/>
              <w:t>• Carve-outs added</w:t>
            </w:r>
          </w:p>
        </w:tc>
        <w:tc>
          <w:tcPr>
            <w:tcW w:w="3009" w:type="dxa"/>
          </w:tcPr>
          <w:p w14:paraId="750F5AB6" w14:textId="77777777" w:rsidR="00262B69" w:rsidRDefault="0078143D">
            <w:r>
              <w:t>Aligns indemnity with comparative fault and operational control; prevents Grantor/tenant negligence from being shift</w:t>
            </w:r>
            <w:r>
              <w:t>ed to Licensee; removes overbroad release risk</w:t>
            </w:r>
          </w:p>
        </w:tc>
      </w:tr>
      <w:tr w:rsidR="00262B69" w14:paraId="1F54E340" w14:textId="77777777">
        <w:tc>
          <w:tcPr>
            <w:tcW w:w="3009" w:type="dxa"/>
          </w:tcPr>
          <w:p w14:paraId="581F8DA4" w14:textId="77777777" w:rsidR="00262B69" w:rsidRDefault="0078143D">
            <w:r>
              <w:t>MAINTENANCE (Section 13)</w:t>
            </w:r>
          </w:p>
        </w:tc>
        <w:tc>
          <w:tcPr>
            <w:tcW w:w="3009" w:type="dxa"/>
          </w:tcPr>
          <w:p w14:paraId="4D89AC56" w14:textId="77777777" w:rsidR="00262B69" w:rsidRDefault="0078143D">
            <w:r>
              <w:t>• Limited to Equipment + used areas</w:t>
            </w:r>
            <w:r>
              <w:br/>
              <w:t>• No 20% admin fee</w:t>
            </w:r>
            <w:r>
              <w:br/>
              <w:t>• Notice/cure for back-charges</w:t>
            </w:r>
          </w:p>
        </w:tc>
        <w:tc>
          <w:tcPr>
            <w:tcW w:w="3009" w:type="dxa"/>
          </w:tcPr>
          <w:p w14:paraId="35A53E54" w14:textId="77777777" w:rsidR="00262B69" w:rsidRDefault="0078143D">
            <w:r>
              <w:t xml:space="preserve">Prevents unintended shift of base-building/structural maintenance to Licensee; ensures </w:t>
            </w:r>
            <w:r>
              <w:t>back-charges are reasonable and documented; reduces dispute over unilateral admin fee add-ons</w:t>
            </w:r>
          </w:p>
        </w:tc>
      </w:tr>
      <w:tr w:rsidR="00262B69" w14:paraId="4A7984E6" w14:textId="77777777">
        <w:tc>
          <w:tcPr>
            <w:tcW w:w="3009" w:type="dxa"/>
          </w:tcPr>
          <w:p w14:paraId="169ED3B6" w14:textId="77777777" w:rsidR="00262B69" w:rsidRDefault="0078143D">
            <w:r>
              <w:t>END OF TERM (Section 14)</w:t>
            </w:r>
          </w:p>
        </w:tc>
        <w:tc>
          <w:tcPr>
            <w:tcW w:w="3009" w:type="dxa"/>
          </w:tcPr>
          <w:p w14:paraId="662CAF34" w14:textId="77777777" w:rsidR="00262B69" w:rsidRDefault="0078143D">
            <w:r>
              <w:t>• Abandonment trap removed</w:t>
            </w:r>
            <w:r>
              <w:br/>
              <w:t>• Reasonable removal period</w:t>
            </w:r>
          </w:p>
        </w:tc>
        <w:tc>
          <w:tcPr>
            <w:tcW w:w="3009" w:type="dxa"/>
          </w:tcPr>
          <w:p w14:paraId="5B4A3FAC" w14:textId="77777777" w:rsidR="00262B69" w:rsidRDefault="0078143D">
            <w:r>
              <w:t xml:space="preserve">Prevents forfeiture/conversion arguments; ensures reasonable removal process and </w:t>
            </w:r>
            <w:r>
              <w:t>notice before any abandonment determination; harmonizes with early-termination reimbursement concept</w:t>
            </w:r>
          </w:p>
        </w:tc>
      </w:tr>
      <w:tr w:rsidR="00262B69" w14:paraId="38709536" w14:textId="77777777">
        <w:tc>
          <w:tcPr>
            <w:tcW w:w="3009" w:type="dxa"/>
          </w:tcPr>
          <w:p w14:paraId="32EC361C" w14:textId="77777777" w:rsidR="00262B69" w:rsidRDefault="0078143D">
            <w:r>
              <w:t>EXHIBIT B / B-1 (Billing &amp; Reconciliation)</w:t>
            </w:r>
          </w:p>
        </w:tc>
        <w:tc>
          <w:tcPr>
            <w:tcW w:w="3009" w:type="dxa"/>
          </w:tcPr>
          <w:p w14:paraId="2AE49FBF" w14:textId="77777777" w:rsidR="00262B69" w:rsidRDefault="0078143D">
            <w:r>
              <w:t>• Grantor cooperation after Licensee collection efforts</w:t>
            </w:r>
            <w:r>
              <w:br/>
              <w:t>• Annual Reconciliation for unpaid tenant amounts</w:t>
            </w:r>
          </w:p>
        </w:tc>
        <w:tc>
          <w:tcPr>
            <w:tcW w:w="3009" w:type="dxa"/>
          </w:tcPr>
          <w:p w14:paraId="1FD1387B" w14:textId="77777777" w:rsidR="00262B69" w:rsidRDefault="0078143D">
            <w:r>
              <w:t>Alloc</w:t>
            </w:r>
            <w:r>
              <w:t>ates tenant nonpayment risk in commercially workable way; if Licensee advances costs for tenant services, reconciliation/credit-back mechanism prevents Licensee from subsidizing tenants while Grantor controls enforcement relationship; creates defined mecha</w:t>
            </w:r>
            <w:r>
              <w:t>nism instead of leaving reimbursement to informal discretion</w:t>
            </w:r>
          </w:p>
        </w:tc>
      </w:tr>
    </w:tbl>
    <w:p w14:paraId="5218F9E1" w14:textId="77777777" w:rsidR="00262B69" w:rsidRDefault="00262B69"/>
    <w:p w14:paraId="23370E99" w14:textId="77777777" w:rsidR="00262B69" w:rsidRDefault="0078143D">
      <w:r>
        <w:rPr>
          <w:b/>
        </w:rPr>
        <w:lastRenderedPageBreak/>
        <w:t>3. CMC Universal NDA Template</w:t>
      </w:r>
    </w:p>
    <w:p w14:paraId="1237BF9A" w14:textId="77777777" w:rsidR="00262B69" w:rsidRDefault="00262B69"/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4508"/>
        <w:gridCol w:w="4508"/>
      </w:tblGrid>
      <w:tr w:rsidR="00262B69" w14:paraId="45A03E15" w14:textId="77777777">
        <w:tc>
          <w:tcPr>
            <w:tcW w:w="4513" w:type="dxa"/>
            <w:shd w:val="clear" w:color="auto" w:fill="D9D9D9"/>
          </w:tcPr>
          <w:p w14:paraId="7FBE3D60" w14:textId="77777777" w:rsidR="00262B69" w:rsidRDefault="0078143D">
            <w:r>
              <w:t>Description</w:t>
            </w:r>
          </w:p>
        </w:tc>
        <w:tc>
          <w:tcPr>
            <w:tcW w:w="4513" w:type="dxa"/>
            <w:shd w:val="clear" w:color="auto" w:fill="D9D9D9"/>
          </w:tcPr>
          <w:p w14:paraId="40458230" w14:textId="77777777" w:rsidR="00262B69" w:rsidRDefault="0078143D">
            <w:r>
              <w:t>Rationale</w:t>
            </w:r>
          </w:p>
        </w:tc>
      </w:tr>
      <w:tr w:rsidR="00262B69" w14:paraId="1954FA86" w14:textId="77777777">
        <w:tc>
          <w:tcPr>
            <w:tcW w:w="4513" w:type="dxa"/>
          </w:tcPr>
          <w:p w14:paraId="2F7A92E2" w14:textId="77777777" w:rsidR="00262B69" w:rsidRDefault="0078143D">
            <w:r>
              <w:t>Streamlined mutual NDA: broad CI definition, permitted disclosures, 3-year term, standard remedies</w:t>
            </w:r>
          </w:p>
        </w:tc>
        <w:tc>
          <w:tcPr>
            <w:tcW w:w="4513" w:type="dxa"/>
          </w:tcPr>
          <w:p w14:paraId="0C61A71F" w14:textId="77777777" w:rsidR="00262B69" w:rsidRDefault="0078143D">
            <w:r>
              <w:t xml:space="preserve">Less convoluted than prior form; </w:t>
            </w:r>
            <w:r>
              <w:t>keeps practical protections while remaining signable</w:t>
            </w:r>
          </w:p>
        </w:tc>
      </w:tr>
    </w:tbl>
    <w:p w14:paraId="6C1BAB3D" w14:textId="77777777" w:rsidR="00262B69" w:rsidRDefault="00262B69"/>
    <w:p w14:paraId="7C8524B7" w14:textId="77777777" w:rsidR="00262B69" w:rsidRDefault="0078143D">
      <w:r>
        <w:rPr>
          <w:b/>
        </w:rPr>
        <w:t>4. Additional Consistency Fixes</w:t>
      </w:r>
    </w:p>
    <w:p w14:paraId="1ADE6D81" w14:textId="77777777" w:rsidR="00262B69" w:rsidRDefault="00262B69"/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006"/>
        <w:gridCol w:w="3006"/>
        <w:gridCol w:w="3004"/>
      </w:tblGrid>
      <w:tr w:rsidR="00262B69" w14:paraId="4D96B84F" w14:textId="77777777">
        <w:tc>
          <w:tcPr>
            <w:tcW w:w="3009" w:type="dxa"/>
            <w:shd w:val="clear" w:color="auto" w:fill="D9D9D9"/>
          </w:tcPr>
          <w:p w14:paraId="621BAC6D" w14:textId="77777777" w:rsidR="00262B69" w:rsidRDefault="0078143D">
            <w:r>
              <w:t>Issue</w:t>
            </w:r>
          </w:p>
        </w:tc>
        <w:tc>
          <w:tcPr>
            <w:tcW w:w="3009" w:type="dxa"/>
            <w:shd w:val="clear" w:color="auto" w:fill="D9D9D9"/>
          </w:tcPr>
          <w:p w14:paraId="5AB2C523" w14:textId="77777777" w:rsidR="00262B69" w:rsidRDefault="0078143D">
            <w:r>
              <w:t>Fix</w:t>
            </w:r>
          </w:p>
        </w:tc>
        <w:tc>
          <w:tcPr>
            <w:tcW w:w="3009" w:type="dxa"/>
            <w:shd w:val="clear" w:color="auto" w:fill="D9D9D9"/>
          </w:tcPr>
          <w:p w14:paraId="1741AD01" w14:textId="77777777" w:rsidR="00262B69" w:rsidRDefault="0078143D">
            <w:r>
              <w:t>Rationale</w:t>
            </w:r>
          </w:p>
        </w:tc>
      </w:tr>
      <w:tr w:rsidR="00262B69" w14:paraId="6C8E3B29" w14:textId="77777777">
        <w:tc>
          <w:tcPr>
            <w:tcW w:w="3009" w:type="dxa"/>
          </w:tcPr>
          <w:p w14:paraId="2A298A57" w14:textId="77777777" w:rsidR="00262B69" w:rsidRDefault="0078143D">
            <w:r>
              <w:t>Insurance vs DEFAULTS conflict</w:t>
            </w:r>
          </w:p>
        </w:tc>
        <w:tc>
          <w:tcPr>
            <w:tcW w:w="3009" w:type="dxa"/>
          </w:tcPr>
          <w:p w14:paraId="16ACE4B4" w14:textId="77777777" w:rsidR="00262B69" w:rsidRDefault="0078143D">
            <w:r>
              <w:t>Made subject to DEFAULTS; allows immediate suspension for genuine emergencies only</w:t>
            </w:r>
          </w:p>
        </w:tc>
        <w:tc>
          <w:tcPr>
            <w:tcW w:w="3009" w:type="dxa"/>
          </w:tcPr>
          <w:p w14:paraId="01CE909B" w14:textId="77777777" w:rsidR="00262B69" w:rsidRDefault="0078143D">
            <w:r>
              <w:t xml:space="preserve">Harmonizes cure </w:t>
            </w:r>
            <w:r>
              <w:t>framework throughout agreement</w:t>
            </w:r>
          </w:p>
        </w:tc>
      </w:tr>
      <w:tr w:rsidR="00262B69" w14:paraId="47642950" w14:textId="77777777">
        <w:tc>
          <w:tcPr>
            <w:tcW w:w="3009" w:type="dxa"/>
          </w:tcPr>
          <w:p w14:paraId="27807E39" w14:textId="77777777" w:rsidR="00262B69" w:rsidRDefault="0078143D">
            <w:r>
              <w:t>Indemnified Parties undefined</w:t>
            </w:r>
          </w:p>
        </w:tc>
        <w:tc>
          <w:tcPr>
            <w:tcW w:w="3009" w:type="dxa"/>
          </w:tcPr>
          <w:p w14:paraId="07771186" w14:textId="77777777" w:rsidR="00262B69" w:rsidRDefault="0078143D">
            <w:r>
              <w:t>Defined inline: Grantor, affiliates, property manager, and their officers, directors, employees, and agents</w:t>
            </w:r>
          </w:p>
        </w:tc>
        <w:tc>
          <w:tcPr>
            <w:tcW w:w="3009" w:type="dxa"/>
          </w:tcPr>
          <w:p w14:paraId="7DE7F9B9" w14:textId="77777777" w:rsidR="00262B69" w:rsidRDefault="0078143D">
            <w:r>
              <w:t>Eliminates ambiguity about scope of indemnity protection</w:t>
            </w:r>
          </w:p>
        </w:tc>
      </w:tr>
      <w:tr w:rsidR="00262B69" w14:paraId="51FD8C88" w14:textId="77777777">
        <w:tc>
          <w:tcPr>
            <w:tcW w:w="3009" w:type="dxa"/>
          </w:tcPr>
          <w:p w14:paraId="6891CCAF" w14:textId="77777777" w:rsidR="00262B69" w:rsidRDefault="0078143D">
            <w:r>
              <w:t>Reporting tonnage guarantee</w:t>
            </w:r>
          </w:p>
        </w:tc>
        <w:tc>
          <w:tcPr>
            <w:tcW w:w="3009" w:type="dxa"/>
          </w:tcPr>
          <w:p w14:paraId="3C66419F" w14:textId="77777777" w:rsidR="00262B69" w:rsidRDefault="0078143D">
            <w:r>
              <w:t>First sentence now conditional; "remedy violations as promptly as commercially practicable"</w:t>
            </w:r>
          </w:p>
        </w:tc>
        <w:tc>
          <w:tcPr>
            <w:tcW w:w="3009" w:type="dxa"/>
          </w:tcPr>
          <w:p w14:paraId="39F047C1" w14:textId="77777777" w:rsidR="00262B69" w:rsidRDefault="0078143D">
            <w:r>
              <w:t>Prevents cherry-picking; ties performance to what Licensee can control</w:t>
            </w:r>
          </w:p>
        </w:tc>
      </w:tr>
      <w:tr w:rsidR="00262B69" w14:paraId="07182F22" w14:textId="77777777">
        <w:tc>
          <w:tcPr>
            <w:tcW w:w="3009" w:type="dxa"/>
          </w:tcPr>
          <w:p w14:paraId="070519F2" w14:textId="77777777" w:rsidR="00262B69" w:rsidRDefault="0078143D">
            <w:r>
              <w:t>Commencement Date undefined</w:t>
            </w:r>
          </w:p>
        </w:tc>
        <w:tc>
          <w:tcPr>
            <w:tcW w:w="3009" w:type="dxa"/>
          </w:tcPr>
          <w:p w14:paraId="69C118E7" w14:textId="77777777" w:rsidR="00262B69" w:rsidRDefault="0078143D">
            <w:r>
              <w:t>Replaced with "Effective Date"</w:t>
            </w:r>
          </w:p>
        </w:tc>
        <w:tc>
          <w:tcPr>
            <w:tcW w:w="3009" w:type="dxa"/>
          </w:tcPr>
          <w:p w14:paraId="2FE53467" w14:textId="77777777" w:rsidR="00262B69" w:rsidRDefault="0078143D">
            <w:r>
              <w:t xml:space="preserve">Eliminates undefined term; </w:t>
            </w:r>
            <w:r>
              <w:t>uses defined term from agreement preamble</w:t>
            </w:r>
          </w:p>
        </w:tc>
      </w:tr>
      <w:tr w:rsidR="00262B69" w14:paraId="443BD7CE" w14:textId="77777777">
        <w:tc>
          <w:tcPr>
            <w:tcW w:w="3009" w:type="dxa"/>
          </w:tcPr>
          <w:p w14:paraId="45D4EB6A" w14:textId="77777777" w:rsidR="00262B69" w:rsidRDefault="0078143D">
            <w:r>
              <w:t>Exhibit B 24-hour self-help</w:t>
            </w:r>
          </w:p>
        </w:tc>
        <w:tc>
          <w:tcPr>
            <w:tcW w:w="3009" w:type="dxa"/>
          </w:tcPr>
          <w:p w14:paraId="145826F7" w14:textId="77777777" w:rsidR="00262B69" w:rsidRDefault="0078143D">
            <w:r>
              <w:t>Added: "does not expand termination rights, governed by Section DEFAULTS"</w:t>
            </w:r>
          </w:p>
        </w:tc>
        <w:tc>
          <w:tcPr>
            <w:tcW w:w="3009" w:type="dxa"/>
          </w:tcPr>
          <w:p w14:paraId="14DB82F6" w14:textId="77777777" w:rsidR="00262B69" w:rsidRDefault="0078143D">
            <w:r>
              <w:t>Clarifies service-level remedy does not create independent termination right</w:t>
            </w:r>
          </w:p>
        </w:tc>
      </w:tr>
      <w:tr w:rsidR="00262B69" w14:paraId="65735BE0" w14:textId="77777777">
        <w:tc>
          <w:tcPr>
            <w:tcW w:w="3009" w:type="dxa"/>
          </w:tcPr>
          <w:p w14:paraId="46D2DBC4" w14:textId="77777777" w:rsidR="00262B69" w:rsidRDefault="0078143D">
            <w:r>
              <w:t>License fee amount broken</w:t>
            </w:r>
          </w:p>
        </w:tc>
        <w:tc>
          <w:tcPr>
            <w:tcW w:w="3009" w:type="dxa"/>
          </w:tcPr>
          <w:p w14:paraId="2245D78E" w14:textId="77777777" w:rsidR="00262B69" w:rsidRDefault="0078143D">
            <w:r>
              <w:t>Fixed t</w:t>
            </w:r>
            <w:r>
              <w:t>o placeholder format: "______________ DOLLARS ($____)"</w:t>
            </w:r>
          </w:p>
        </w:tc>
        <w:tc>
          <w:tcPr>
            <w:tcW w:w="3009" w:type="dxa"/>
          </w:tcPr>
          <w:p w14:paraId="6C6B24E5" w14:textId="77777777" w:rsidR="00262B69" w:rsidRDefault="0078143D">
            <w:r>
              <w:t>Core commercial term must be clearly fillable</w:t>
            </w:r>
          </w:p>
        </w:tc>
      </w:tr>
    </w:tbl>
    <w:p w14:paraId="159895CA" w14:textId="77777777" w:rsidR="0078143D" w:rsidRDefault="0078143D"/>
    <w:sectPr w:rsidR="0078143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7C"/>
    <w:multiLevelType w:val="singleLevel"/>
    <w:tmpl w:val="2C9836BC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291201E0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D25A70CE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1C94A470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6D666D7E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E79A802A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F9FE1D8C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B796726C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BD9CB934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00089D2E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2F4763CB"/>
    <w:multiLevelType w:val="hybridMultilevel"/>
    <w:tmpl w:val="743A541A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FC953C0"/>
    <w:multiLevelType w:val="hybridMultilevel"/>
    <w:tmpl w:val="70747A32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EB14468"/>
    <w:multiLevelType w:val="hybridMultilevel"/>
    <w:tmpl w:val="3BB4BE8A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2"/>
  </w:num>
  <w:num w:numId="2">
    <w:abstractNumId w:val="11"/>
  </w:num>
  <w:num w:numId="3">
    <w:abstractNumId w:val="9"/>
  </w:num>
  <w:num w:numId="4">
    <w:abstractNumId w:val="10"/>
  </w:num>
  <w:num w:numId="5">
    <w:abstractNumId w:val="7"/>
  </w:num>
  <w:num w:numId="6">
    <w:abstractNumId w:val="6"/>
  </w:num>
  <w:num w:numId="7">
    <w:abstractNumId w:val="5"/>
  </w:num>
  <w:num w:numId="8">
    <w:abstractNumId w:val="4"/>
  </w:num>
  <w:num w:numId="9">
    <w:abstractNumId w:val="8"/>
  </w:num>
  <w:num w:numId="10">
    <w:abstractNumId w:val="3"/>
  </w:num>
  <w:num w:numId="11">
    <w:abstractNumId w:val="2"/>
  </w:num>
  <w:num w:numId="12">
    <w:abstractNumId w:val="1"/>
  </w:num>
  <w:num w:numId="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80"/>
  <w:removePersonalInformation/>
  <w:removeDateAndTime/>
  <w:proofState w:spelling="clean" w:grammar="clean"/>
  <w:stylePaneFormatFilter w:val="1424" w:allStyles="0" w:customStyles="0" w:latentStyles="1" w:stylesInUse="0" w:headingStyles="1" w:numberingStyles="0" w:tableStyles="0" w:directFormattingOnRuns="0" w:directFormattingOnParagraphs="0" w:directFormattingOnNumbering="1" w:directFormattingOnTables="0" w:clearFormatting="1" w:top3HeadingStyles="0" w:visibleStyles="0" w:alternateStyleName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4C52"/>
    <w:rsid w:val="00051D34"/>
    <w:rsid w:val="000B7F73"/>
    <w:rsid w:val="00163376"/>
    <w:rsid w:val="001D48BF"/>
    <w:rsid w:val="00262B69"/>
    <w:rsid w:val="003626E4"/>
    <w:rsid w:val="005F4C52"/>
    <w:rsid w:val="007341F4"/>
    <w:rsid w:val="00765D75"/>
    <w:rsid w:val="0078143D"/>
    <w:rsid w:val="007E4C49"/>
    <w:rsid w:val="0084288D"/>
    <w:rsid w:val="00986238"/>
    <w:rsid w:val="009D0573"/>
    <w:rsid w:val="009E663E"/>
    <w:rsid w:val="00D7255A"/>
    <w:rsid w:val="00EF42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0854D3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341F4"/>
    <w:rPr>
      <w:rFonts w:ascii="Arial" w:hAnsi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98623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8623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86238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986238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986238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765D75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5D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98623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986238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986238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986238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986238"/>
    <w:rPr>
      <w:rFonts w:asciiTheme="majorHAnsi" w:eastAsiaTheme="majorEastAsia" w:hAnsiTheme="majorHAnsi" w:cstheme="majorBidi"/>
      <w:color w:val="2F5496" w:themeColor="accent1" w:themeShade="BF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6238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986238"/>
    <w:rPr>
      <w:rFonts w:eastAsiaTheme="minorEastAsia"/>
      <w:color w:val="5A5A5A" w:themeColor="text1" w:themeTint="A5"/>
      <w:spacing w:val="15"/>
    </w:rPr>
  </w:style>
  <w:style w:type="character" w:styleId="SubtleEmphasis">
    <w:name w:val="Subtle Emphasis"/>
    <w:basedOn w:val="DefaultParagraphFont"/>
    <w:uiPriority w:val="19"/>
    <w:qFormat/>
    <w:rsid w:val="00986238"/>
    <w:rPr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20"/>
    <w:qFormat/>
    <w:rsid w:val="00986238"/>
    <w:rPr>
      <w:i/>
      <w:iCs/>
    </w:rPr>
  </w:style>
  <w:style w:type="character" w:styleId="IntenseEmphasis">
    <w:name w:val="Intense Emphasis"/>
    <w:basedOn w:val="DefaultParagraphFont"/>
    <w:uiPriority w:val="21"/>
    <w:qFormat/>
    <w:rsid w:val="00986238"/>
    <w:rPr>
      <w:i/>
      <w:iCs/>
      <w:color w:val="4472C4" w:themeColor="accent1"/>
    </w:rPr>
  </w:style>
  <w:style w:type="character" w:styleId="Strong">
    <w:name w:val="Strong"/>
    <w:basedOn w:val="DefaultParagraphFont"/>
    <w:uiPriority w:val="22"/>
    <w:qFormat/>
    <w:rsid w:val="00986238"/>
    <w:rPr>
      <w:b/>
      <w:bCs/>
    </w:rPr>
  </w:style>
  <w:style w:type="paragraph" w:styleId="Quote">
    <w:name w:val="Quote"/>
    <w:basedOn w:val="Normal"/>
    <w:next w:val="Normal"/>
    <w:link w:val="QuoteChar"/>
    <w:uiPriority w:val="29"/>
    <w:qFormat/>
    <w:rsid w:val="00986238"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6238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663E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663E"/>
    <w:rPr>
      <w:i/>
      <w:iCs/>
      <w:color w:val="4472C4" w:themeColor="accent1"/>
    </w:rPr>
  </w:style>
  <w:style w:type="character" w:styleId="SubtleReference">
    <w:name w:val="Subtle Reference"/>
    <w:basedOn w:val="DefaultParagraphFont"/>
    <w:uiPriority w:val="31"/>
    <w:qFormat/>
    <w:rsid w:val="009E663E"/>
    <w:rPr>
      <w:smallCaps/>
      <w:color w:val="5A5A5A" w:themeColor="text1" w:themeTint="A5"/>
    </w:rPr>
  </w:style>
  <w:style w:type="character" w:styleId="IntenseReference">
    <w:name w:val="Intense Reference"/>
    <w:basedOn w:val="DefaultParagraphFont"/>
    <w:uiPriority w:val="32"/>
    <w:qFormat/>
    <w:rsid w:val="009E663E"/>
    <w:rPr>
      <w:b/>
      <w:bCs/>
      <w:smallCaps/>
      <w:color w:val="4472C4" w:themeColor="accent1"/>
      <w:spacing w:val="5"/>
    </w:rPr>
  </w:style>
  <w:style w:type="character" w:styleId="BookTitle">
    <w:name w:val="Book Title"/>
    <w:basedOn w:val="DefaultParagraphFont"/>
    <w:uiPriority w:val="33"/>
    <w:qFormat/>
    <w:rsid w:val="009E663E"/>
    <w:rPr>
      <w:b/>
      <w:bCs/>
      <w:i/>
      <w:iCs/>
      <w:spacing w:val="5"/>
    </w:rPr>
  </w:style>
  <w:style w:type="paragraph" w:styleId="ListParagraph">
    <w:name w:val="List Paragraph"/>
    <w:basedOn w:val="Normal"/>
    <w:uiPriority w:val="34"/>
    <w:qFormat/>
    <w:rsid w:val="009E663E"/>
    <w:pPr>
      <w:ind w:left="720"/>
      <w:contextualSpacing/>
    </w:pPr>
  </w:style>
  <w:style w:type="paragraph" w:styleId="NoSpacing">
    <w:name w:val="No Spacing"/>
    <w:uiPriority w:val="1"/>
    <w:qFormat/>
    <w:rsid w:val="009E663E"/>
    <w:pPr>
      <w:spacing w:after="0" w:line="240" w:lineRule="auto"/>
    </w:pPr>
  </w:style>
  <w:style w:type="paragraph" w:styleId="ListNumber">
    <w:name w:val="List Number"/>
    <w:basedOn w:val="Normal"/>
    <w:uiPriority w:val="99"/>
    <w:unhideWhenUsed/>
    <w:rsid w:val="00D7255A"/>
    <w:pPr>
      <w:numPr>
        <w:numId w:val="9"/>
      </w:numPr>
      <w:contextualSpacing/>
    </w:pPr>
  </w:style>
  <w:style w:type="paragraph" w:styleId="ListBullet">
    <w:name w:val="List Bullet"/>
    <w:basedOn w:val="Normal"/>
    <w:uiPriority w:val="99"/>
    <w:unhideWhenUsed/>
    <w:qFormat/>
    <w:rsid w:val="007E4C49"/>
    <w:pPr>
      <w:numPr>
        <w:numId w:val="3"/>
      </w:numPr>
      <w:contextualSpacing/>
    </w:pPr>
  </w:style>
  <w:style w:type="paragraph" w:styleId="MacroText">
    <w:name w:val="macro"/>
    <w:link w:val="MacroTextChar"/>
    <w:uiPriority w:val="99"/>
    <w:unhideWhenUsed/>
    <w:rsid w:val="00D7255A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D7255A"/>
    <w:rPr>
      <w:rFonts w:ascii="Consolas" w:hAnsi="Consolas"/>
      <w:sz w:val="20"/>
      <w:szCs w:val="20"/>
    </w:rPr>
  </w:style>
  <w:style w:type="character" w:styleId="Mention">
    <w:name w:val="Mention"/>
    <w:basedOn w:val="DefaultParagraphFont"/>
    <w:uiPriority w:val="99"/>
    <w:unhideWhenUsed/>
    <w:rsid w:val="00D7255A"/>
    <w:rPr>
      <w:color w:val="2B579A"/>
      <w:shd w:val="clear" w:color="auto" w:fill="E1DFDD"/>
    </w:rPr>
  </w:style>
  <w:style w:type="paragraph" w:styleId="MessageHeader">
    <w:name w:val="Message Header"/>
    <w:basedOn w:val="Normal"/>
    <w:link w:val="MessageHeaderChar"/>
    <w:uiPriority w:val="99"/>
    <w:unhideWhenUsed/>
    <w:rsid w:val="00D7255A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 w:line="240" w:lineRule="auto"/>
      <w:ind w:left="1134" w:hanging="1134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MessageHeaderChar">
    <w:name w:val="Message Header Char"/>
    <w:basedOn w:val="DefaultParagraphFont"/>
    <w:link w:val="MessageHeader"/>
    <w:uiPriority w:val="99"/>
    <w:rsid w:val="00D7255A"/>
    <w:rPr>
      <w:rFonts w:asciiTheme="majorHAnsi" w:eastAsiaTheme="majorEastAsia" w:hAnsiTheme="majorHAnsi" w:cstheme="majorBidi"/>
      <w:sz w:val="24"/>
      <w:szCs w:val="24"/>
      <w:shd w:val="pct20" w:color="auto" w:fill="auto"/>
    </w:rPr>
  </w:style>
  <w:style w:type="paragraph" w:styleId="PlainText">
    <w:name w:val="Plain Text"/>
    <w:basedOn w:val="Normal"/>
    <w:link w:val="PlainTextChar"/>
    <w:uiPriority w:val="99"/>
    <w:unhideWhenUsed/>
    <w:rsid w:val="00D7255A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D7255A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880</Words>
  <Characters>5017</Characters>
  <Application>Microsoft Office Word</Application>
  <DocSecurity>0</DocSecurity>
  <Lines>41</Lines>
  <Paragraphs>11</Paragraphs>
  <ScaleCrop>false</ScaleCrop>
  <Company/>
  <LinksUpToDate>false</LinksUpToDate>
  <CharactersWithSpaces>5886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2022-12-05T10:46:00Z</dcterms:created>
  <dcterms:modified xsi:type="dcterms:W3CDTF">2025-12-24T06:47:00Z</dcterms:modified>
</cp:coreProperties>
</file>