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F5F0"/>
  <w:body>
    <w:p>
      <w:pPr>
        <w:spacing w:before="0" w:after="100"/>
      </w:pPr>
      <w:r>
        <w:rPr>
          <w:rFonts w:ascii="Consolas" w:hAnsi="Consolas"/>
          <w:b/>
          <w:color w:val="D95F13"/>
          <w:sz w:val="16"/>
        </w:rPr>
        <w:t>CONTROLSMITH TOOLS  /  PRODUCT DOCUMENTATION</w:t>
      </w:r>
    </w:p>
    <w:p>
      <w:pPr>
        <w:pStyle w:val="Title"/>
        <w:keepNext/>
      </w:pPr>
      <w:r>
        <w:rPr>
          <w:rFonts w:ascii="Aptos Display" w:hAnsi="Aptos Display"/>
          <w:b/>
          <w:color w:val="272727"/>
          <w:sz w:val="54"/>
        </w:rPr>
        <w:t>SOC 2 Evidence SQL Pack - Free Sample (10 Queries)</w:t>
      </w:r>
    </w:p>
    <w:p>
      <w:pPr>
        <w:pStyle w:val="Subtitle"/>
        <w:pBdr>
          <w:bottom w:val="single" w:sz="12" w:space="10" w:color="FF751F"/>
        </w:pBdr>
      </w:pPr>
      <w:r>
        <w:rPr>
          <w:rFonts w:ascii="Aptos" w:hAnsi="Aptos"/>
          <w:color w:val="5F5F5F"/>
          <w:sz w:val="21"/>
        </w:rPr>
        <w:t>SOC 2 Evidence SQL Pack - Free Sample  •  README.md</w:t>
      </w:r>
    </w:p>
    <w:p>
      <w:pPr>
        <w:widowControl/>
      </w:pPr>
      <w:r>
        <w:rPr>
          <w:rFonts w:ascii="Aptos" w:hAnsi="Aptos"/>
          <w:i/>
          <w:color w:val="272727"/>
          <w:sz w:val="22"/>
        </w:rPr>
        <w:t>by ControlSmith Tools · audit evidence, ready to run.</w:t>
      </w:r>
    </w:p>
    <w:p>
      <w:pPr>
        <w:widowControl/>
      </w:pPr>
      <w:r>
        <w:rPr>
          <w:rFonts w:ascii="Aptos" w:hAnsi="Aptos"/>
          <w:color w:val="272727"/>
          <w:sz w:val="22"/>
        </w:rPr>
        <w:t xml:space="preserve">This folder contains 10 free Postgres queries from the full </w:t>
      </w:r>
      <w:r>
        <w:rPr>
          <w:rFonts w:ascii="Aptos" w:hAnsi="Aptos"/>
          <w:b/>
          <w:color w:val="272727"/>
          <w:sz w:val="22"/>
        </w:rPr>
        <w:t>SOC 2 Evidence SQL Pack</w:t>
      </w:r>
      <w:r>
        <w:rPr>
          <w:rFonts w:ascii="Aptos" w:hAnsi="Aptos"/>
          <w:color w:val="272727"/>
          <w:sz w:val="22"/>
        </w:rPr>
        <w:t>.</w:t>
      </w:r>
    </w:p>
    <w:p>
      <w:pPr>
        <w:widowControl/>
      </w:pPr>
      <w:r>
        <w:rPr>
          <w:rFonts w:ascii="Aptos" w:hAnsi="Aptos"/>
          <w:color w:val="272727"/>
          <w:sz w:val="22"/>
        </w:rPr>
        <w:t xml:space="preserve">The full pack contains </w:t>
      </w:r>
      <w:r>
        <w:rPr>
          <w:rFonts w:ascii="Aptos" w:hAnsi="Aptos"/>
          <w:b/>
          <w:color w:val="272727"/>
          <w:sz w:val="22"/>
        </w:rPr>
        <w:t>240 parameterised queries</w:t>
      </w:r>
      <w:r>
        <w:rPr>
          <w:rFonts w:ascii="Aptos" w:hAnsi="Aptos"/>
          <w:color w:val="272727"/>
          <w:sz w:val="22"/>
        </w:rPr>
        <w:t xml:space="preserve"> - 60 queries across 9 control themes, ported to four dialects: </w:t>
      </w:r>
      <w:r>
        <w:rPr>
          <w:rFonts w:ascii="Aptos" w:hAnsi="Aptos"/>
          <w:b/>
          <w:color w:val="272727"/>
          <w:sz w:val="22"/>
        </w:rPr>
        <w:t>Postgres, Snowflake, BigQuery, and Microsoft SQL Server</w:t>
      </w:r>
      <w:r>
        <w:rPr>
          <w:rFonts w:ascii="Aptos" w:hAnsi="Aptos"/>
          <w:color w:val="272727"/>
          <w:sz w:val="22"/>
        </w:rPr>
        <w:t>. This free sampler ships the Postgres version of 10 representative queries so you can evaluate the style and depth before purchasing.</w:t>
      </w:r>
    </w:p>
    <w:p>
      <w:pPr>
        <w:spacing w:before="100" w:after="100"/>
        <w:pBdr>
          <w:top w:val="single" w:sz="6" w:space="4" w:color="EBE6DD"/>
        </w:pBdr>
      </w:pPr>
    </w:p>
    <w:p>
      <w:pPr>
        <w:pStyle w:val="Heading2"/>
      </w:pPr>
      <w:r>
        <w:rPr>
          <w:rFonts w:ascii="Aptos" w:hAnsi="Aptos"/>
          <w:color w:val="272727"/>
          <w:sz w:val="26"/>
        </w:rPr>
        <w:t>Folder structure</w:t>
      </w:r>
    </w:p>
    <w:p>
      <w:pPr>
        <w:pStyle w:val="CodeBlock"/>
        <w:shd w:fill="272727"/>
        <w:spacing w:before="80"/>
        <w:pBdr>
          <w:top w:val="single" w:sz="12" w:space="5" w:color="272727"/>
        </w:pBdr>
      </w:pPr>
      <w:r>
        <w:rPr>
          <w:rFonts w:ascii="Consolas" w:hAnsi="Consolas"/>
          <w:color w:val="FFFFFF"/>
          <w:sz w:val="16"/>
        </w:rPr>
        <w:t>sample/</w:t>
      </w:r>
    </w:p>
    <w:p>
      <w:pPr>
        <w:pStyle w:val="CodeBlock"/>
        <w:shd w:fill="272727"/>
      </w:pPr>
      <w:r>
        <w:rPr>
          <w:rFonts w:ascii="Consolas" w:hAnsi="Consolas"/>
          <w:color w:val="FFFFFF"/>
          <w:sz w:val="16"/>
        </w:rPr>
        <w:t>├── README.md</w:t>
      </w:r>
    </w:p>
    <w:p>
      <w:pPr>
        <w:pStyle w:val="CodeBlock"/>
        <w:shd w:fill="272727"/>
      </w:pPr>
      <w:r>
        <w:rPr>
          <w:rFonts w:ascii="Consolas" w:hAnsi="Consolas"/>
          <w:color w:val="FFFFFF"/>
          <w:sz w:val="16"/>
        </w:rPr>
        <w:t>├── DISCLAIMER.md</w:t>
      </w:r>
    </w:p>
    <w:p>
      <w:pPr>
        <w:pStyle w:val="CodeBlock"/>
        <w:shd w:fill="272727"/>
      </w:pPr>
      <w:r>
        <w:rPr>
          <w:rFonts w:ascii="Consolas" w:hAnsi="Consolas"/>
          <w:color w:val="FFFFFF"/>
          <w:sz w:val="16"/>
        </w:rPr>
        <w:t>├── schema/</w:t>
      </w:r>
    </w:p>
    <w:p>
      <w:pPr>
        <w:pStyle w:val="CodeBlock"/>
        <w:shd w:fill="272727"/>
      </w:pPr>
      <w:r>
        <w:rPr>
          <w:rFonts w:ascii="Consolas" w:hAnsi="Consolas"/>
          <w:color w:val="FFFFFF"/>
          <w:sz w:val="16"/>
        </w:rPr>
        <w:t>│   ├── sample-schema.sql</w:t>
      </w:r>
    </w:p>
    <w:p>
      <w:pPr>
        <w:pStyle w:val="CodeBlock"/>
        <w:shd w:fill="272727"/>
      </w:pPr>
      <w:r>
        <w:rPr>
          <w:rFonts w:ascii="Consolas" w:hAnsi="Consolas"/>
          <w:color w:val="FFFFFF"/>
          <w:sz w:val="16"/>
        </w:rPr>
        <w:t>│   └── seed-data.sql</w:t>
      </w:r>
    </w:p>
    <w:p>
      <w:pPr>
        <w:pStyle w:val="CodeBlock"/>
        <w:shd w:fill="272727"/>
        <w:spacing w:after="140"/>
        <w:pBdr>
          <w:bottom w:val="single" w:sz="12" w:space="5" w:color="272727"/>
        </w:pBdr>
      </w:pPr>
      <w:r>
        <w:rPr>
          <w:rFonts w:ascii="Consolas" w:hAnsi="Consolas"/>
          <w:color w:val="FFFFFF"/>
          <w:sz w:val="16"/>
        </w:rPr>
        <w:t>└── *.sql</w:t>
      </w:r>
    </w:p>
    <w:p>
      <w:pPr>
        <w:spacing w:before="100" w:after="100"/>
        <w:pBdr>
          <w:top w:val="single" w:sz="6" w:space="4" w:color="EBE6DD"/>
        </w:pBdr>
      </w:pPr>
    </w:p>
    <w:p>
      <w:pPr>
        <w:pStyle w:val="Heading2"/>
      </w:pPr>
      <w:r>
        <w:rPr>
          <w:rFonts w:ascii="Aptos" w:hAnsi="Aptos"/>
          <w:color w:val="272727"/>
          <w:sz w:val="26"/>
        </w:rPr>
        <w:t>What's in this sample</w:t>
      </w:r>
    </w:p>
    <w:tbl>
      <w:tblPr>
        <w:tblW w:type="dxa" w:w="9360"/>
        <w:jc w:val="left"/>
        <w:tblLayout w:type="fixed"/>
        <w:tblLook w:firstColumn="1" w:firstRow="1" w:lastColumn="0" w:lastRow="0" w:noHBand="0" w:noVBand="1" w:val="04A0"/>
        <w:tblInd w:w="120" w:type="dxa"/>
        <w:tblBorders>
          <w:top w:val="single" w:sz="5" w:space="0" w:color="DED9D1"/>
          <w:left w:val="single" w:sz="5" w:space="0" w:color="DED9D1"/>
          <w:bottom w:val="single" w:sz="5" w:space="0" w:color="DED9D1"/>
          <w:right w:val="single" w:sz="5" w:space="0" w:color="DED9D1"/>
          <w:insideH w:val="single" w:sz="5" w:space="0" w:color="DED9D1"/>
          <w:insideV w:val="single" w:sz="5" w:space="0" w:color="DED9D1"/>
        </w:tblBorders>
      </w:tblPr>
      <w:tblGrid>
        <w:gridCol w:w="4203"/>
        <w:gridCol w:w="1577"/>
        <w:gridCol w:w="2085"/>
        <w:gridCol w:w="1495"/>
      </w:tblGrid>
      <w:tr>
        <w:trPr>
          <w:tblHeader w:val="true"/>
        </w:trPr>
        <w:tc>
          <w:tcPr>
            <w:tcW w:type="dxa" w:w="4203"/>
            <w:tcMar>
              <w:top w:w="100" w:type="dxa"/>
              <w:start w:w="140" w:type="dxa"/>
              <w:bottom w:w="100" w:type="dxa"/>
              <w:end w:w="140" w:type="dxa"/>
            </w:tcMar>
            <w:vAlign w:val="center"/>
            <w:shd w:fill="F0EDE7"/>
          </w:tcPr>
          <w:p>
            <w:pPr>
              <w:spacing w:before="0" w:after="40" w:line="264" w:lineRule="auto"/>
            </w:pPr>
            <w:r>
              <w:rPr>
                <w:rFonts w:ascii="Aptos" w:hAnsi="Aptos"/>
                <w:b/>
                <w:color w:val="272727"/>
                <w:sz w:val="18"/>
              </w:rPr>
              <w:t>File</w:t>
            </w:r>
          </w:p>
        </w:tc>
        <w:tc>
          <w:tcPr>
            <w:tcW w:type="dxa" w:w="1577"/>
            <w:tcMar>
              <w:top w:w="100" w:type="dxa"/>
              <w:start w:w="140" w:type="dxa"/>
              <w:bottom w:w="100" w:type="dxa"/>
              <w:end w:w="140" w:type="dxa"/>
            </w:tcMar>
            <w:vAlign w:val="center"/>
            <w:shd w:fill="F0EDE7"/>
          </w:tcPr>
          <w:p>
            <w:pPr>
              <w:spacing w:before="0" w:after="40" w:line="264" w:lineRule="auto"/>
            </w:pPr>
            <w:r>
              <w:rPr>
                <w:rFonts w:ascii="Aptos" w:hAnsi="Aptos"/>
                <w:b/>
                <w:color w:val="272727"/>
                <w:sz w:val="18"/>
              </w:rPr>
              <w:t>ID</w:t>
            </w:r>
          </w:p>
        </w:tc>
        <w:tc>
          <w:tcPr>
            <w:tcW w:type="dxa" w:w="2085"/>
            <w:tcMar>
              <w:top w:w="100" w:type="dxa"/>
              <w:start w:w="140" w:type="dxa"/>
              <w:bottom w:w="100" w:type="dxa"/>
              <w:end w:w="140" w:type="dxa"/>
            </w:tcMar>
            <w:vAlign w:val="center"/>
            <w:shd w:fill="F0EDE7"/>
          </w:tcPr>
          <w:p>
            <w:pPr>
              <w:spacing w:before="0" w:after="40" w:line="264" w:lineRule="auto"/>
            </w:pPr>
            <w:r>
              <w:rPr>
                <w:rFonts w:ascii="Aptos" w:hAnsi="Aptos"/>
                <w:b/>
                <w:color w:val="272727"/>
                <w:sz w:val="18"/>
              </w:rPr>
              <w:t>Theme</w:t>
            </w:r>
          </w:p>
        </w:tc>
        <w:tc>
          <w:tcPr>
            <w:tcW w:type="dxa" w:w="1495"/>
            <w:tcMar>
              <w:top w:w="100" w:type="dxa"/>
              <w:start w:w="140" w:type="dxa"/>
              <w:bottom w:w="100" w:type="dxa"/>
              <w:end w:w="140" w:type="dxa"/>
            </w:tcMar>
            <w:vAlign w:val="center"/>
            <w:shd w:fill="F0EDE7"/>
          </w:tcPr>
          <w:p>
            <w:pPr>
              <w:spacing w:before="0" w:after="40" w:line="264" w:lineRule="auto"/>
            </w:pPr>
            <w:r>
              <w:rPr>
                <w:rFonts w:ascii="Aptos" w:hAnsi="Aptos"/>
                <w:b/>
                <w:color w:val="272727"/>
                <w:sz w:val="18"/>
              </w:rPr>
              <w:t>Type</w:t>
            </w:r>
          </w:p>
        </w:tc>
      </w:tr>
      <w:tr>
        <w:tc>
          <w:tcPr>
            <w:tcW w:type="dxa" w:w="4203"/>
            <w:tcMar>
              <w:top w:w="100" w:type="dxa"/>
              <w:start w:w="140" w:type="dxa"/>
              <w:bottom w:w="100" w:type="dxa"/>
              <w:end w:w="140" w:type="dxa"/>
            </w:tcMar>
            <w:vAlign w:val="center"/>
            <w:shd w:fill="FFFFFF"/>
          </w:tcPr>
          <w:p>
            <w:pPr>
              <w:spacing w:before="0" w:after="40" w:line="264" w:lineRule="auto"/>
            </w:pPr>
            <w:r>
              <w:rPr>
                <w:rFonts w:ascii="Consolas" w:hAnsi="Consolas"/>
                <w:color w:val="272727"/>
                <w:sz w:val="17"/>
                <w:shd w:fill="F0EDE7"/>
              </w:rPr>
              <w:t>ar_001_all_active_users.sql</w:t>
            </w:r>
          </w:p>
        </w:tc>
        <w:tc>
          <w:tcPr>
            <w:tcW w:type="dxa" w:w="1577"/>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AR-001</w:t>
            </w:r>
          </w:p>
        </w:tc>
        <w:tc>
          <w:tcPr>
            <w:tcW w:type="dxa" w:w="208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Access Review</w:t>
            </w:r>
          </w:p>
        </w:tc>
        <w:tc>
          <w:tcPr>
            <w:tcW w:type="dxa" w:w="149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APP</w:t>
            </w:r>
          </w:p>
        </w:tc>
      </w:tr>
      <w:tr>
        <w:tc>
          <w:tcPr>
            <w:tcW w:type="dxa" w:w="4203"/>
            <w:tcMar>
              <w:top w:w="100" w:type="dxa"/>
              <w:start w:w="140" w:type="dxa"/>
              <w:bottom w:w="100" w:type="dxa"/>
              <w:end w:w="140" w:type="dxa"/>
            </w:tcMar>
            <w:vAlign w:val="center"/>
            <w:shd w:fill="FFFFFF"/>
          </w:tcPr>
          <w:p>
            <w:pPr>
              <w:spacing w:before="0" w:after="40" w:line="264" w:lineRule="auto"/>
            </w:pPr>
            <w:r>
              <w:rPr>
                <w:rFonts w:ascii="Consolas" w:hAnsi="Consolas"/>
                <w:color w:val="272727"/>
                <w:sz w:val="17"/>
                <w:shd w:fill="F0EDE7"/>
              </w:rPr>
              <w:t>ar_006_stale_users_no_login_90d.sql</w:t>
            </w:r>
          </w:p>
        </w:tc>
        <w:tc>
          <w:tcPr>
            <w:tcW w:type="dxa" w:w="1577"/>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AR-006</w:t>
            </w:r>
          </w:p>
        </w:tc>
        <w:tc>
          <w:tcPr>
            <w:tcW w:type="dxa" w:w="208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Access Review</w:t>
            </w:r>
          </w:p>
        </w:tc>
        <w:tc>
          <w:tcPr>
            <w:tcW w:type="dxa" w:w="149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APP</w:t>
            </w:r>
          </w:p>
        </w:tc>
      </w:tr>
      <w:tr>
        <w:tc>
          <w:tcPr>
            <w:tcW w:type="dxa" w:w="4203"/>
            <w:tcMar>
              <w:top w:w="100" w:type="dxa"/>
              <w:start w:w="140" w:type="dxa"/>
              <w:bottom w:w="100" w:type="dxa"/>
              <w:end w:w="140" w:type="dxa"/>
            </w:tcMar>
            <w:vAlign w:val="center"/>
            <w:shd w:fill="FFFFFF"/>
          </w:tcPr>
          <w:p>
            <w:pPr>
              <w:spacing w:before="0" w:after="40" w:line="264" w:lineRule="auto"/>
            </w:pPr>
            <w:r>
              <w:rPr>
                <w:rFonts w:ascii="Consolas" w:hAnsi="Consolas"/>
                <w:color w:val="272727"/>
                <w:sz w:val="17"/>
                <w:shd w:fill="F0EDE7"/>
              </w:rPr>
              <w:t>pu_001_db_superusers_detail.sql</w:t>
            </w:r>
          </w:p>
        </w:tc>
        <w:tc>
          <w:tcPr>
            <w:tcW w:type="dxa" w:w="1577"/>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PU-001</w:t>
            </w:r>
          </w:p>
        </w:tc>
        <w:tc>
          <w:tcPr>
            <w:tcW w:type="dxa" w:w="208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Privileged Users</w:t>
            </w:r>
          </w:p>
        </w:tc>
        <w:tc>
          <w:tcPr>
            <w:tcW w:type="dxa" w:w="149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CATALOG</w:t>
            </w:r>
          </w:p>
        </w:tc>
      </w:tr>
      <w:tr>
        <w:tc>
          <w:tcPr>
            <w:tcW w:type="dxa" w:w="4203"/>
            <w:tcMar>
              <w:top w:w="100" w:type="dxa"/>
              <w:start w:w="140" w:type="dxa"/>
              <w:bottom w:w="100" w:type="dxa"/>
              <w:end w:w="140" w:type="dxa"/>
            </w:tcMar>
            <w:vAlign w:val="center"/>
            <w:shd w:fill="FFFFFF"/>
          </w:tcPr>
          <w:p>
            <w:pPr>
              <w:spacing w:before="0" w:after="40" w:line="264" w:lineRule="auto"/>
            </w:pPr>
            <w:r>
              <w:rPr>
                <w:rFonts w:ascii="Consolas" w:hAnsi="Consolas"/>
                <w:color w:val="272727"/>
                <w:sz w:val="17"/>
                <w:shd w:fill="F0EDE7"/>
              </w:rPr>
              <w:t>auth_002_users_without_mfa.sql</w:t>
            </w:r>
          </w:p>
        </w:tc>
        <w:tc>
          <w:tcPr>
            <w:tcW w:type="dxa" w:w="1577"/>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AUTH-002</w:t>
            </w:r>
          </w:p>
        </w:tc>
        <w:tc>
          <w:tcPr>
            <w:tcW w:type="dxa" w:w="208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Authentication</w:t>
            </w:r>
          </w:p>
        </w:tc>
        <w:tc>
          <w:tcPr>
            <w:tcW w:type="dxa" w:w="149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APP</w:t>
            </w:r>
          </w:p>
        </w:tc>
      </w:tr>
      <w:tr>
        <w:tc>
          <w:tcPr>
            <w:tcW w:type="dxa" w:w="4203"/>
            <w:tcMar>
              <w:top w:w="100" w:type="dxa"/>
              <w:start w:w="140" w:type="dxa"/>
              <w:bottom w:w="100" w:type="dxa"/>
              <w:end w:w="140" w:type="dxa"/>
            </w:tcMar>
            <w:vAlign w:val="center"/>
            <w:shd w:fill="FFFFFF"/>
          </w:tcPr>
          <w:p>
            <w:pPr>
              <w:spacing w:before="0" w:after="40" w:line="264" w:lineRule="auto"/>
            </w:pPr>
            <w:r>
              <w:rPr>
                <w:rFonts w:ascii="Consolas" w:hAnsi="Consolas"/>
                <w:color w:val="272727"/>
                <w:sz w:val="17"/>
                <w:shd w:fill="F0EDE7"/>
              </w:rPr>
              <w:t>fl_003_brute_force_detection.sql</w:t>
            </w:r>
          </w:p>
        </w:tc>
        <w:tc>
          <w:tcPr>
            <w:tcW w:type="dxa" w:w="1577"/>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FL-003</w:t>
            </w:r>
          </w:p>
        </w:tc>
        <w:tc>
          <w:tcPr>
            <w:tcW w:type="dxa" w:w="208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Failed Logins</w:t>
            </w:r>
          </w:p>
        </w:tc>
        <w:tc>
          <w:tcPr>
            <w:tcW w:type="dxa" w:w="149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APP</w:t>
            </w:r>
          </w:p>
        </w:tc>
      </w:tr>
      <w:tr>
        <w:tc>
          <w:tcPr>
            <w:tcW w:type="dxa" w:w="4203"/>
            <w:tcMar>
              <w:top w:w="100" w:type="dxa"/>
              <w:start w:w="140" w:type="dxa"/>
              <w:bottom w:w="100" w:type="dxa"/>
              <w:end w:w="140" w:type="dxa"/>
            </w:tcMar>
            <w:vAlign w:val="center"/>
            <w:shd w:fill="FFFFFF"/>
          </w:tcPr>
          <w:p>
            <w:pPr>
              <w:spacing w:before="0" w:after="40" w:line="264" w:lineRule="auto"/>
            </w:pPr>
            <w:r>
              <w:rPr>
                <w:rFonts w:ascii="Consolas" w:hAnsi="Consolas"/>
                <w:color w:val="272727"/>
                <w:sz w:val="17"/>
                <w:shd w:fill="F0EDE7"/>
              </w:rPr>
              <w:t>ul_004_inactive_users_with_access.sql</w:t>
            </w:r>
          </w:p>
        </w:tc>
        <w:tc>
          <w:tcPr>
            <w:tcW w:type="dxa" w:w="1577"/>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UL-004</w:t>
            </w:r>
          </w:p>
        </w:tc>
        <w:tc>
          <w:tcPr>
            <w:tcW w:type="dxa" w:w="208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User Lifecycle</w:t>
            </w:r>
          </w:p>
        </w:tc>
        <w:tc>
          <w:tcPr>
            <w:tcW w:type="dxa" w:w="149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APP</w:t>
            </w:r>
          </w:p>
        </w:tc>
      </w:tr>
      <w:tr>
        <w:tc>
          <w:tcPr>
            <w:tcW w:type="dxa" w:w="4203"/>
            <w:tcMar>
              <w:top w:w="100" w:type="dxa"/>
              <w:start w:w="140" w:type="dxa"/>
              <w:bottom w:w="100" w:type="dxa"/>
              <w:end w:w="140" w:type="dxa"/>
            </w:tcMar>
            <w:vAlign w:val="center"/>
            <w:shd w:fill="FFFFFF"/>
          </w:tcPr>
          <w:p>
            <w:pPr>
              <w:spacing w:before="0" w:after="40" w:line="264" w:lineRule="auto"/>
            </w:pPr>
            <w:r>
              <w:rPr>
                <w:rFonts w:ascii="Consolas" w:hAnsi="Consolas"/>
                <w:color w:val="272727"/>
                <w:sz w:val="17"/>
                <w:shd w:fill="F0EDE7"/>
              </w:rPr>
              <w:t>al_001_audit_log_volume.sql</w:t>
            </w:r>
          </w:p>
        </w:tc>
        <w:tc>
          <w:tcPr>
            <w:tcW w:type="dxa" w:w="1577"/>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AL-001</w:t>
            </w:r>
          </w:p>
        </w:tc>
        <w:tc>
          <w:tcPr>
            <w:tcW w:type="dxa" w:w="208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Audit Logs</w:t>
            </w:r>
          </w:p>
        </w:tc>
        <w:tc>
          <w:tcPr>
            <w:tcW w:type="dxa" w:w="149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APP</w:t>
            </w:r>
          </w:p>
        </w:tc>
      </w:tr>
      <w:tr>
        <w:tc>
          <w:tcPr>
            <w:tcW w:type="dxa" w:w="4203"/>
            <w:tcMar>
              <w:top w:w="100" w:type="dxa"/>
              <w:start w:w="140" w:type="dxa"/>
              <w:bottom w:w="100" w:type="dxa"/>
              <w:end w:w="140" w:type="dxa"/>
            </w:tcMar>
            <w:vAlign w:val="center"/>
            <w:shd w:fill="FFFFFF"/>
          </w:tcPr>
          <w:p>
            <w:pPr>
              <w:spacing w:before="0" w:after="40" w:line="264" w:lineRule="auto"/>
            </w:pPr>
            <w:r>
              <w:rPr>
                <w:rFonts w:ascii="Consolas" w:hAnsi="Consolas"/>
                <w:color w:val="272727"/>
                <w:sz w:val="17"/>
                <w:shd w:fill="F0EDE7"/>
              </w:rPr>
              <w:t>dr_001_exports_past_retention.sql</w:t>
            </w:r>
          </w:p>
        </w:tc>
        <w:tc>
          <w:tcPr>
            <w:tcW w:type="dxa" w:w="1577"/>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DR-001</w:t>
            </w:r>
          </w:p>
        </w:tc>
        <w:tc>
          <w:tcPr>
            <w:tcW w:type="dxa" w:w="208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Data Retention</w:t>
            </w:r>
          </w:p>
        </w:tc>
        <w:tc>
          <w:tcPr>
            <w:tcW w:type="dxa" w:w="149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APP</w:t>
            </w:r>
          </w:p>
        </w:tc>
      </w:tr>
      <w:tr>
        <w:tc>
          <w:tcPr>
            <w:tcW w:type="dxa" w:w="4203"/>
            <w:tcMar>
              <w:top w:w="100" w:type="dxa"/>
              <w:start w:w="140" w:type="dxa"/>
              <w:bottom w:w="100" w:type="dxa"/>
              <w:end w:w="140" w:type="dxa"/>
            </w:tcMar>
            <w:vAlign w:val="center"/>
            <w:shd w:fill="FFFFFF"/>
          </w:tcPr>
          <w:p>
            <w:pPr>
              <w:spacing w:before="0" w:after="40" w:line="264" w:lineRule="auto"/>
            </w:pPr>
            <w:r>
              <w:rPr>
                <w:rFonts w:ascii="Consolas" w:hAnsi="Consolas"/>
                <w:color w:val="272727"/>
                <w:sz w:val="17"/>
                <w:shd w:fill="F0EDE7"/>
              </w:rPr>
              <w:t>enc_001_pg_ssl_settings.sql</w:t>
            </w:r>
          </w:p>
        </w:tc>
        <w:tc>
          <w:tcPr>
            <w:tcW w:type="dxa" w:w="1577"/>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ENC-001</w:t>
            </w:r>
          </w:p>
        </w:tc>
        <w:tc>
          <w:tcPr>
            <w:tcW w:type="dxa" w:w="208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Encryption</w:t>
            </w:r>
          </w:p>
        </w:tc>
        <w:tc>
          <w:tcPr>
            <w:tcW w:type="dxa" w:w="149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CATALOG</w:t>
            </w:r>
          </w:p>
        </w:tc>
      </w:tr>
      <w:tr>
        <w:tc>
          <w:tcPr>
            <w:tcW w:type="dxa" w:w="4203"/>
            <w:tcMar>
              <w:top w:w="100" w:type="dxa"/>
              <w:start w:w="140" w:type="dxa"/>
              <w:bottom w:w="100" w:type="dxa"/>
              <w:end w:w="140" w:type="dxa"/>
            </w:tcMar>
            <w:vAlign w:val="center"/>
            <w:shd w:fill="FFFFFF"/>
          </w:tcPr>
          <w:p>
            <w:pPr>
              <w:spacing w:before="0" w:after="40" w:line="264" w:lineRule="auto"/>
            </w:pPr>
            <w:r>
              <w:rPr>
                <w:rFonts w:ascii="Consolas" w:hAnsi="Consolas"/>
                <w:color w:val="272727"/>
                <w:sz w:val="17"/>
                <w:shd w:fill="F0EDE7"/>
              </w:rPr>
              <w:t>ch_001_schema_migration_log.sql</w:t>
            </w:r>
          </w:p>
        </w:tc>
        <w:tc>
          <w:tcPr>
            <w:tcW w:type="dxa" w:w="1577"/>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CH-001</w:t>
            </w:r>
          </w:p>
        </w:tc>
        <w:tc>
          <w:tcPr>
            <w:tcW w:type="dxa" w:w="208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Change History</w:t>
            </w:r>
          </w:p>
        </w:tc>
        <w:tc>
          <w:tcPr>
            <w:tcW w:type="dxa" w:w="1495"/>
            <w:tcMar>
              <w:top w:w="100" w:type="dxa"/>
              <w:start w:w="140" w:type="dxa"/>
              <w:bottom w:w="100" w:type="dxa"/>
              <w:end w:w="140" w:type="dxa"/>
            </w:tcMar>
            <w:vAlign w:val="center"/>
            <w:shd w:fill="FFFFFF"/>
          </w:tcPr>
          <w:p>
            <w:pPr>
              <w:spacing w:before="0" w:after="40" w:line="264" w:lineRule="auto"/>
            </w:pPr>
            <w:r>
              <w:rPr>
                <w:rFonts w:ascii="Aptos" w:hAnsi="Aptos"/>
                <w:color w:val="272727"/>
                <w:sz w:val="18"/>
              </w:rPr>
              <w:t>APP</w:t>
            </w:r>
          </w:p>
        </w:tc>
      </w:tr>
    </w:tbl>
    <w:p>
      <w:pPr>
        <w:spacing w:before="40" w:after="40"/>
      </w:pPr>
    </w:p>
    <w:p>
      <w:pPr>
        <w:spacing w:before="100" w:after="100"/>
        <w:pBdr>
          <w:top w:val="single" w:sz="6" w:space="4" w:color="EBE6DD"/>
        </w:pBdr>
      </w:pPr>
    </w:p>
    <w:p>
      <w:pPr>
        <w:pStyle w:val="Heading2"/>
      </w:pPr>
      <w:r>
        <w:rPr>
          <w:rFonts w:ascii="Aptos" w:hAnsi="Aptos"/>
          <w:color w:val="272727"/>
          <w:sz w:val="26"/>
        </w:rPr>
        <w:t>How to use these queries</w:t>
      </w:r>
    </w:p>
    <w:p>
      <w:pPr>
        <w:pStyle w:val="Heading3"/>
      </w:pPr>
      <w:r>
        <w:rPr>
          <w:rFonts w:ascii="Aptos" w:hAnsi="Aptos"/>
          <w:color w:val="272727"/>
          <w:sz w:val="24"/>
        </w:rPr>
        <w:t>Prerequisites</w:t>
      </w:r>
    </w:p>
    <w:p>
      <w:pPr>
        <w:spacing w:after="80" w:line="300" w:lineRule="auto"/>
        <w:numPr>
          <w:ilvl w:val="0"/>
          <w:numId w:val="10"/>
        </w:numPr>
      </w:pPr>
      <w:r>
        <w:rPr>
          <w:rFonts w:ascii="Aptos" w:hAnsi="Aptos"/>
          <w:color w:val="272727"/>
          <w:sz w:val="22"/>
        </w:rPr>
        <w:t>A Postgres 12+ database</w:t>
      </w:r>
    </w:p>
    <w:p>
      <w:pPr>
        <w:spacing w:after="80" w:line="300" w:lineRule="auto"/>
        <w:numPr>
          <w:ilvl w:val="0"/>
          <w:numId w:val="10"/>
        </w:numPr>
      </w:pPr>
      <w:r>
        <w:rPr>
          <w:rFonts w:ascii="Aptos" w:hAnsi="Aptos"/>
          <w:color w:val="272727"/>
          <w:sz w:val="22"/>
        </w:rPr>
        <w:t xml:space="preserve">A read-only role with access to </w:t>
      </w:r>
      <w:r>
        <w:rPr>
          <w:rFonts w:ascii="Consolas" w:hAnsi="Consolas"/>
          <w:color w:val="272727"/>
          <w:sz w:val="21"/>
          <w:shd w:fill="F0EDE7"/>
        </w:rPr>
        <w:t>information_schema</w:t>
      </w:r>
      <w:r>
        <w:rPr>
          <w:rFonts w:ascii="Aptos" w:hAnsi="Aptos"/>
          <w:color w:val="272727"/>
          <w:sz w:val="22"/>
        </w:rPr>
        <w:t xml:space="preserve"> and </w:t>
      </w:r>
      <w:r>
        <w:rPr>
          <w:rFonts w:ascii="Consolas" w:hAnsi="Consolas"/>
          <w:color w:val="272727"/>
          <w:sz w:val="21"/>
          <w:shd w:fill="F0EDE7"/>
        </w:rPr>
        <w:t>pg_*</w:t>
      </w:r>
      <w:r>
        <w:rPr>
          <w:rFonts w:ascii="Aptos" w:hAnsi="Aptos"/>
          <w:color w:val="272727"/>
          <w:sz w:val="22"/>
        </w:rPr>
        <w:t xml:space="preserve"> catalog views</w:t>
      </w:r>
    </w:p>
    <w:p>
      <w:pPr>
        <w:pStyle w:val="Heading3"/>
      </w:pPr>
      <w:r>
        <w:rPr>
          <w:rFonts w:ascii="Aptos" w:hAnsi="Aptos"/>
          <w:color w:val="272727"/>
          <w:sz w:val="24"/>
        </w:rPr>
        <w:t>For APP queries (queries against application tables)</w:t>
      </w:r>
    </w:p>
    <w:p>
      <w:pPr>
        <w:spacing w:after="80" w:line="300" w:lineRule="auto"/>
        <w:numPr>
          <w:ilvl w:val="0"/>
          <w:numId w:val="11"/>
        </w:numPr>
      </w:pPr>
      <w:r>
        <w:rPr>
          <w:rFonts w:ascii="Aptos" w:hAnsi="Aptos"/>
          <w:color w:val="272727"/>
          <w:sz w:val="22"/>
        </w:rPr>
        <w:t>Clone or download this folder.</w:t>
      </w:r>
    </w:p>
    <w:p>
      <w:pPr>
        <w:spacing w:after="80" w:line="300" w:lineRule="auto"/>
        <w:numPr>
          <w:ilvl w:val="0"/>
          <w:numId w:val="11"/>
        </w:numPr>
      </w:pPr>
      <w:r>
        <w:rPr>
          <w:rFonts w:ascii="Aptos" w:hAnsi="Aptos"/>
          <w:color w:val="272727"/>
          <w:sz w:val="22"/>
        </w:rPr>
        <w:t xml:space="preserve">Run </w:t>
      </w:r>
      <w:r>
        <w:rPr>
          <w:rFonts w:ascii="Consolas" w:hAnsi="Consolas"/>
          <w:color w:val="272727"/>
          <w:sz w:val="21"/>
          <w:shd w:fill="F0EDE7"/>
        </w:rPr>
        <w:t>schema/sample-schema.sql</w:t>
      </w:r>
      <w:r>
        <w:rPr>
          <w:rFonts w:ascii="Aptos" w:hAnsi="Aptos"/>
          <w:color w:val="272727"/>
          <w:sz w:val="22"/>
        </w:rPr>
        <w:t xml:space="preserve"> and </w:t>
      </w:r>
      <w:r>
        <w:rPr>
          <w:rFonts w:ascii="Consolas" w:hAnsi="Consolas"/>
          <w:color w:val="272727"/>
          <w:sz w:val="21"/>
          <w:shd w:fill="F0EDE7"/>
        </w:rPr>
        <w:t>schema/seed-data.sql</w:t>
      </w:r>
      <w:r>
        <w:rPr>
          <w:rFonts w:ascii="Aptos" w:hAnsi="Aptos"/>
          <w:color w:val="272727"/>
          <w:sz w:val="22"/>
        </w:rPr>
        <w:t xml:space="preserve"> on a test database to create the sample tables.</w:t>
      </w:r>
    </w:p>
    <w:p>
      <w:pPr>
        <w:spacing w:after="80" w:line="300" w:lineRule="auto"/>
        <w:numPr>
          <w:ilvl w:val="0"/>
          <w:numId w:val="11"/>
        </w:numPr>
      </w:pPr>
      <w:r>
        <w:rPr>
          <w:rFonts w:ascii="Aptos" w:hAnsi="Aptos"/>
          <w:color w:val="272727"/>
          <w:sz w:val="22"/>
        </w:rPr>
        <w:t>Run any APP query against that test database to see how it works.</w:t>
      </w:r>
    </w:p>
    <w:p>
      <w:pPr>
        <w:spacing w:after="80" w:line="300" w:lineRule="auto"/>
        <w:numPr>
          <w:ilvl w:val="0"/>
          <w:numId w:val="11"/>
        </w:numPr>
      </w:pPr>
      <w:r>
        <w:rPr>
          <w:rFonts w:ascii="Aptos" w:hAnsi="Aptos"/>
          <w:color w:val="272727"/>
          <w:sz w:val="22"/>
        </w:rPr>
        <w:t>Adapt table and column names to your real schema using the adaptation notes in each file.</w:t>
      </w:r>
    </w:p>
    <w:p>
      <w:pPr>
        <w:pStyle w:val="Heading3"/>
      </w:pPr>
      <w:r>
        <w:rPr>
          <w:rFonts w:ascii="Aptos" w:hAnsi="Aptos"/>
          <w:color w:val="272727"/>
          <w:sz w:val="24"/>
        </w:rPr>
        <w:t>For CATALOG queries</w:t>
      </w:r>
    </w:p>
    <w:p>
      <w:pPr>
        <w:widowControl/>
      </w:pPr>
      <w:r>
        <w:rPr>
          <w:rFonts w:ascii="Aptos" w:hAnsi="Aptos"/>
          <w:color w:val="272727"/>
          <w:sz w:val="22"/>
        </w:rPr>
        <w:t>No adaptation needed - run directly against your Postgres instance with an appropriate role.</w:t>
      </w:r>
    </w:p>
    <w:p>
      <w:pPr>
        <w:spacing w:before="100" w:after="100"/>
        <w:pBdr>
          <w:top w:val="single" w:sz="6" w:space="4" w:color="EBE6DD"/>
        </w:pBdr>
      </w:pPr>
    </w:p>
    <w:p>
      <w:pPr>
        <w:pStyle w:val="Heading2"/>
      </w:pPr>
      <w:r>
        <w:rPr>
          <w:rFonts w:ascii="Aptos" w:hAnsi="Aptos"/>
          <w:color w:val="272727"/>
          <w:sz w:val="26"/>
        </w:rPr>
        <w:t>What's in the full pack</w:t>
      </w:r>
    </w:p>
    <w:p>
      <w:pPr>
        <w:widowControl/>
      </w:pPr>
      <w:r>
        <w:rPr>
          <w:rFonts w:ascii="Aptos" w:hAnsi="Aptos"/>
          <w:color w:val="272727"/>
          <w:sz w:val="22"/>
        </w:rPr>
        <w:t>The paid pack adds:</w:t>
      </w:r>
    </w:p>
    <w:p>
      <w:pPr>
        <w:spacing w:after="80" w:line="300" w:lineRule="auto"/>
        <w:numPr>
          <w:ilvl w:val="0"/>
          <w:numId w:val="12"/>
        </w:numPr>
      </w:pPr>
      <w:r>
        <w:rPr>
          <w:rFonts w:ascii="Aptos" w:hAnsi="Aptos"/>
          <w:b/>
          <w:color w:val="272727"/>
          <w:sz w:val="22"/>
        </w:rPr>
        <w:t>230 additional queries</w:t>
      </w:r>
      <w:r>
        <w:rPr>
          <w:rFonts w:ascii="Aptos" w:hAnsi="Aptos"/>
          <w:color w:val="272727"/>
          <w:sz w:val="22"/>
        </w:rPr>
        <w:t xml:space="preserve"> - the remaining 50 Postgres queries plus full ports to Snowflake (60), BigQuery (60), and Microsoft SQL Server T-SQL (60)</w:t>
      </w:r>
    </w:p>
    <w:p>
      <w:pPr>
        <w:spacing w:after="80" w:line="300" w:lineRule="auto"/>
        <w:numPr>
          <w:ilvl w:val="0"/>
          <w:numId w:val="12"/>
        </w:numPr>
      </w:pPr>
      <w:r>
        <w:rPr>
          <w:rFonts w:ascii="Aptos" w:hAnsi="Aptos"/>
          <w:b/>
          <w:color w:val="272727"/>
          <w:sz w:val="22"/>
        </w:rPr>
        <w:t>Evidence Register</w:t>
      </w:r>
      <w:r>
        <w:rPr>
          <w:rFonts w:ascii="Aptos" w:hAnsi="Aptos"/>
          <w:color w:val="272727"/>
          <w:sz w:val="22"/>
        </w:rPr>
        <w:t xml:space="preserve"> spreadsheet with query index, owner tracking, and review sign-off</w:t>
      </w:r>
    </w:p>
    <w:p>
      <w:pPr>
        <w:spacing w:after="80" w:line="300" w:lineRule="auto"/>
        <w:numPr>
          <w:ilvl w:val="0"/>
          <w:numId w:val="12"/>
        </w:numPr>
      </w:pPr>
      <w:r>
        <w:rPr>
          <w:rFonts w:ascii="Aptos" w:hAnsi="Aptos"/>
          <w:b/>
          <w:color w:val="272727"/>
          <w:sz w:val="22"/>
        </w:rPr>
        <w:t>Control Map</w:t>
      </w:r>
      <w:r>
        <w:rPr>
          <w:rFonts w:ascii="Aptos" w:hAnsi="Aptos"/>
          <w:color w:val="272727"/>
          <w:sz w:val="22"/>
        </w:rPr>
        <w:t xml:space="preserve"> linking every query to SOC 2 TSC criteria</w:t>
      </w:r>
    </w:p>
    <w:p>
      <w:pPr>
        <w:spacing w:after="80" w:line="300" w:lineRule="auto"/>
        <w:numPr>
          <w:ilvl w:val="0"/>
          <w:numId w:val="12"/>
        </w:numPr>
      </w:pPr>
      <w:r>
        <w:rPr>
          <w:rFonts w:ascii="Aptos" w:hAnsi="Aptos"/>
          <w:b/>
          <w:color w:val="272727"/>
          <w:sz w:val="22"/>
        </w:rPr>
        <w:t>Schema Adaptation Guide</w:t>
      </w:r>
      <w:r>
        <w:rPr>
          <w:rFonts w:ascii="Aptos" w:hAnsi="Aptos"/>
          <w:color w:val="272727"/>
          <w:sz w:val="22"/>
        </w:rPr>
        <w:t xml:space="preserve"> with parameter syntax for each dialect, common adaptation patterns, and troubleshooting</w:t>
      </w:r>
    </w:p>
    <w:p>
      <w:pPr>
        <w:spacing w:after="80" w:line="300" w:lineRule="auto"/>
        <w:numPr>
          <w:ilvl w:val="0"/>
          <w:numId w:val="12"/>
        </w:numPr>
      </w:pPr>
      <w:r>
        <w:rPr>
          <w:rFonts w:ascii="Aptos" w:hAnsi="Aptos"/>
          <w:b/>
          <w:color w:val="272727"/>
          <w:sz w:val="22"/>
        </w:rPr>
        <w:t>Performance and Usage Guide</w:t>
      </w:r>
      <w:r>
        <w:rPr>
          <w:rFonts w:ascii="Aptos" w:hAnsi="Aptos"/>
          <w:color w:val="272727"/>
          <w:sz w:val="22"/>
        </w:rPr>
        <w:t xml:space="preserve"> with cadence guidance, per-dialect cost notes, and a 1.05-billion-row benchmark</w:t>
      </w:r>
    </w:p>
    <w:p>
      <w:pPr>
        <w:spacing w:after="80" w:line="300" w:lineRule="auto"/>
        <w:numPr>
          <w:ilvl w:val="0"/>
          <w:numId w:val="12"/>
        </w:numPr>
      </w:pPr>
      <w:r>
        <w:rPr>
          <w:rFonts w:ascii="Aptos" w:hAnsi="Aptos"/>
          <w:color w:val="272727"/>
          <w:sz w:val="22"/>
        </w:rPr>
        <w:t>Sample schema and seed data for testing</w:t>
      </w:r>
    </w:p>
    <w:p>
      <w:pPr>
        <w:spacing w:after="80" w:line="300" w:lineRule="auto"/>
        <w:numPr>
          <w:ilvl w:val="0"/>
          <w:numId w:val="12"/>
        </w:numPr>
      </w:pPr>
      <w:r>
        <w:rPr>
          <w:rFonts w:ascii="Aptos" w:hAnsi="Aptos"/>
          <w:color w:val="272727"/>
          <w:sz w:val="22"/>
        </w:rPr>
        <w:t>Sample output CSVs</w:t>
      </w:r>
    </w:p>
    <w:p>
      <w:pPr>
        <w:spacing w:after="80" w:line="300" w:lineRule="auto"/>
        <w:numPr>
          <w:ilvl w:val="0"/>
          <w:numId w:val="12"/>
        </w:numPr>
      </w:pPr>
      <w:r>
        <w:rPr>
          <w:rFonts w:ascii="Aptos" w:hAnsi="Aptos"/>
          <w:color w:val="272727"/>
          <w:sz w:val="22"/>
        </w:rPr>
        <w:t>Per-dialect READMEs covering region handling (BigQuery), latency caveats (Snowflake), and edition differences (SQL Server / Azure SQL DB / Managed Instance)</w:t>
      </w:r>
    </w:p>
    <w:p>
      <w:pPr>
        <w:spacing w:after="80" w:line="300" w:lineRule="auto"/>
        <w:numPr>
          <w:ilvl w:val="0"/>
          <w:numId w:val="12"/>
        </w:numPr>
      </w:pPr>
      <w:r>
        <w:rPr>
          <w:rFonts w:ascii="Aptos" w:hAnsi="Aptos"/>
          <w:color w:val="272727"/>
          <w:sz w:val="22"/>
        </w:rPr>
        <w:t>Single-user commercial licence</w:t>
      </w:r>
    </w:p>
    <w:p>
      <w:pPr>
        <w:widowControl/>
      </w:pPr>
      <w:r>
        <w:rPr>
          <w:rFonts w:ascii="Aptos" w:hAnsi="Aptos"/>
          <w:b/>
          <w:color w:val="272727"/>
          <w:sz w:val="22"/>
        </w:rPr>
        <w:t>→ Get the full pack - link in this repository's description.</w:t>
      </w:r>
    </w:p>
    <w:p>
      <w:pPr>
        <w:spacing w:before="100" w:after="100"/>
        <w:pBdr>
          <w:top w:val="single" w:sz="6" w:space="4" w:color="EBE6DD"/>
        </w:pBdr>
      </w:pPr>
    </w:p>
    <w:p>
      <w:pPr>
        <w:pStyle w:val="Heading2"/>
      </w:pPr>
      <w:r>
        <w:rPr>
          <w:rFonts w:ascii="Aptos" w:hAnsi="Aptos"/>
          <w:color w:val="272727"/>
          <w:sz w:val="26"/>
        </w:rPr>
        <w:t>Disclaimer</w:t>
      </w:r>
    </w:p>
    <w:p>
      <w:pPr>
        <w:widowControl/>
      </w:pPr>
      <w:r>
        <w:rPr>
          <w:rFonts w:ascii="Aptos" w:hAnsi="Aptos"/>
          <w:color w:val="272727"/>
          <w:sz w:val="22"/>
        </w:rPr>
        <w:t xml:space="preserve">These queries are provided for informational purposes only. They are not legal or audit advice, and do not guarantee that any auditor will accept their output as sufficient evidence. Adapt all queries to your schema before use. See </w:t>
      </w:r>
      <w:r>
        <w:rPr>
          <w:rFonts w:ascii="Consolas" w:hAnsi="Consolas"/>
          <w:color w:val="272727"/>
          <w:sz w:val="21"/>
          <w:shd w:fill="F0EDE7"/>
        </w:rPr>
        <w:t>DISCLAIMER.md</w:t>
      </w:r>
      <w:r>
        <w:rPr>
          <w:rFonts w:ascii="Aptos" w:hAnsi="Aptos"/>
          <w:color w:val="272727"/>
          <w:sz w:val="22"/>
        </w:rPr>
        <w:t xml:space="preserve"> for the complete disclaimer.</w:t>
      </w:r>
    </w:p>
    <w:p>
      <w:pPr>
        <w:spacing w:before="100" w:after="100"/>
        <w:pBdr>
          <w:top w:val="single" w:sz="6" w:space="4" w:color="EBE6DD"/>
        </w:pBdr>
      </w:pPr>
    </w:p>
    <w:p>
      <w:pPr>
        <w:widowControl/>
      </w:pPr>
      <w:r>
        <w:rPr>
          <w:rFonts w:ascii="Aptos" w:hAnsi="Aptos"/>
          <w:i/>
          <w:color w:val="272727"/>
          <w:sz w:val="22"/>
        </w:rPr>
        <w:t>If this sampler was useful, please share it with your team and consider starring the repo.</w:t>
      </w:r>
    </w:p>
    <w:p>
      <w:pPr>
        <w:spacing w:before="100" w:after="100"/>
        <w:pBdr>
          <w:top w:val="single" w:sz="6" w:space="4" w:color="EBE6DD"/>
        </w:pBdr>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7200"/>
      <w:gridCol w:w="2160"/>
    </w:tblGrid>
    <w:tr>
      <w:tc>
        <w:tcPr>
          <w:tcW w:type="dxa" w:w="7200"/>
          <w:tcMar>
            <w:top w:w="40" w:type="dxa"/>
            <w:start w:w="0" w:type="dxa"/>
            <w:bottom w:w="0" w:type="dxa"/>
            <w:end w:w="0" w:type="dxa"/>
          </w:tcMar>
          <w:vAlign w:val="center"/>
        </w:tcPr>
        <w:p>
          <w:pPr>
            <w:spacing w:before="0" w:after="0"/>
          </w:pPr>
          <w:r>
            <w:rPr>
              <w:rFonts w:ascii="Consolas" w:hAnsi="Consolas"/>
              <w:color w:val="5F5F5F"/>
              <w:sz w:val="14"/>
            </w:rPr>
            <w:t>CONTROLSMITH TOOLS.COM  •  SUPPORT@CONTROLSMITH TOOLS.COM</w:t>
          </w:r>
        </w:p>
      </w:tc>
      <w:tc>
        <w:tcPr>
          <w:tcW w:type="dxa" w:w="2160"/>
          <w:tcMar>
            <w:top w:w="40" w:type="dxa"/>
            <w:start w:w="0" w:type="dxa"/>
            <w:bottom w:w="0" w:type="dxa"/>
            <w:end w:w="0" w:type="dxa"/>
          </w:tcMar>
          <w:vAlign w:val="center"/>
        </w:tcPr>
        <w:p>
          <w:pPr>
            <w:spacing w:before="0" w:after="0"/>
            <w:jc w:val="right"/>
          </w:pPr>
          <w:r>
            <w:rPr>
              <w:rFonts w:ascii="Consolas" w:hAnsi="Consolas"/>
              <w:color w:val="5F5F5F"/>
              <w:sz w:val="14"/>
            </w:rPr>
            <w:t xml:space="preserve">PAGE </w:t>
          </w:r>
          <w:r>
            <w:rPr>
              <w:rFonts w:ascii="Aptos" w:hAnsi="Aptos"/>
              <w:color w:val="5F5F5F"/>
              <w:sz w:val="17"/>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Display" w:hAnsi="Aptos Display"/>
        <w:b/>
        <w:color w:val="272727"/>
        <w:sz w:val="17"/>
      </w:rPr>
      <w:t>ControlSmith Tools</w:t>
    </w:r>
    <w:r>
      <w:rPr>
        <w:rFonts w:ascii="Consolas" w:hAnsi="Consolas"/>
        <w:color w:val="5F5F5F"/>
        <w:sz w:val="15"/>
      </w:rPr>
      <w:t xml:space="preserve">   /   SOC 2 Evidence SQL Pack - Free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540"/>
        </w:tabs>
        <w:ind w:left="540" w:hanging="270"/>
        <w:spacing w:after="80" w:line="300" w:lineRule="auto"/>
      </w:pPr>
      <w:rPr>
        <w:rFonts w:ascii="Aptos" w:hAnsi="Aptos"/>
        <w:color w:val="FF751F"/>
      </w:rPr>
    </w:lvl>
    <w:lvl w:ilvl="1">
      <w:start w:val="1"/>
      <w:numFmt w:val="bullet"/>
      <w:lvlText w:val="–"/>
      <w:suff w:val="tab"/>
      <w:pPr>
        <w:tabs>
          <w:tab w:val="num" w:pos="900"/>
        </w:tabs>
        <w:ind w:left="900" w:hanging="270"/>
        <w:spacing w:after="80" w:line="300" w:lineRule="auto"/>
      </w:pPr>
      <w:rPr>
        <w:rFonts w:ascii="Aptos" w:hAnsi="Aptos"/>
        <w:color w:val="FF751F"/>
      </w:rPr>
    </w:lvl>
    <w:lvl w:ilvl="2">
      <w:start w:val="1"/>
      <w:numFmt w:val="bullet"/>
      <w:lvlText w:val="◦"/>
      <w:suff w:val="tab"/>
      <w:pPr>
        <w:tabs>
          <w:tab w:val="num" w:pos="1260"/>
        </w:tabs>
        <w:ind w:left="1260" w:hanging="270"/>
        <w:spacing w:after="80" w:line="300" w:lineRule="auto"/>
      </w:pPr>
      <w:rPr>
        <w:rFonts w:ascii="Aptos" w:hAnsi="Aptos"/>
        <w:color w:val="FF751F"/>
      </w:rPr>
    </w:lvl>
    <w:lvl w:ilvl="3">
      <w:start w:val="1"/>
      <w:numFmt w:val="bullet"/>
      <w:lvlText w:val="▪"/>
      <w:suff w:val="tab"/>
      <w:pPr>
        <w:tabs>
          <w:tab w:val="num" w:pos="1620"/>
        </w:tabs>
        <w:ind w:left="1620" w:hanging="270"/>
        <w:spacing w:after="80" w:line="300" w:lineRule="auto"/>
      </w:pPr>
      <w:rPr>
        <w:rFonts w:ascii="Aptos" w:hAnsi="Aptos"/>
        <w:color w:val="FF751F"/>
      </w:rPr>
    </w:lvl>
  </w:abstractNum>
  <w:num w:numId="10">
    <w:abstractNumId w:val="9"/>
  </w:num>
  <w:abstractNum w:abstractNumId="10">
    <w:multiLevelType w:val="multilevel"/>
    <w:lvl w:ilvl="0">
      <w:start w:val="1"/>
      <w:numFmt w:val="decimal"/>
      <w:lvlText w:val="%1."/>
      <w:suff w:val="tab"/>
      <w:pPr>
        <w:tabs>
          <w:tab w:val="num" w:pos="540"/>
        </w:tabs>
        <w:ind w:left="540" w:hanging="270"/>
        <w:spacing w:after="80" w:line="300" w:lineRule="auto"/>
      </w:pPr>
      <w:rPr>
        <w:rFonts w:ascii="Aptos" w:hAnsi="Aptos"/>
        <w:color w:val="272727"/>
      </w:rPr>
    </w:lvl>
    <w:lvl w:ilvl="1">
      <w:start w:val="1"/>
      <w:numFmt w:val="decimal"/>
      <w:lvlText w:val="%2."/>
      <w:suff w:val="tab"/>
      <w:pPr>
        <w:tabs>
          <w:tab w:val="num" w:pos="900"/>
        </w:tabs>
        <w:ind w:left="900" w:hanging="270"/>
        <w:spacing w:after="80" w:line="300" w:lineRule="auto"/>
      </w:pPr>
      <w:rPr>
        <w:rFonts w:ascii="Aptos" w:hAnsi="Aptos"/>
        <w:color w:val="272727"/>
      </w:rPr>
    </w:lvl>
    <w:lvl w:ilvl="2">
      <w:start w:val="1"/>
      <w:numFmt w:val="decimal"/>
      <w:lvlText w:val="%3."/>
      <w:suff w:val="tab"/>
      <w:pPr>
        <w:tabs>
          <w:tab w:val="num" w:pos="1260"/>
        </w:tabs>
        <w:ind w:left="1260" w:hanging="270"/>
        <w:spacing w:after="80" w:line="300" w:lineRule="auto"/>
      </w:pPr>
      <w:rPr>
        <w:rFonts w:ascii="Aptos" w:hAnsi="Aptos"/>
        <w:color w:val="272727"/>
      </w:rPr>
    </w:lvl>
    <w:lvl w:ilvl="3">
      <w:start w:val="1"/>
      <w:numFmt w:val="decimal"/>
      <w:lvlText w:val="%4."/>
      <w:suff w:val="tab"/>
      <w:pPr>
        <w:tabs>
          <w:tab w:val="num" w:pos="1620"/>
        </w:tabs>
        <w:ind w:left="1620" w:hanging="270"/>
        <w:spacing w:after="80" w:line="300" w:lineRule="auto"/>
      </w:pPr>
      <w:rPr>
        <w:rFonts w:ascii="Aptos" w:hAnsi="Aptos"/>
        <w:color w:val="272727"/>
      </w:rPr>
    </w:lvl>
  </w:abstractNum>
  <w:num w:numId="11">
    <w:abstractNumId w:val="10"/>
  </w:num>
  <w:abstractNum w:abstractNumId="11">
    <w:multiLevelType w:val="multilevel"/>
    <w:lvl w:ilvl="0">
      <w:start w:val="1"/>
      <w:numFmt w:val="bullet"/>
      <w:lvlText w:val="•"/>
      <w:suff w:val="tab"/>
      <w:pPr>
        <w:tabs>
          <w:tab w:val="num" w:pos="540"/>
        </w:tabs>
        <w:ind w:left="540" w:hanging="270"/>
        <w:spacing w:after="80" w:line="300" w:lineRule="auto"/>
      </w:pPr>
      <w:rPr>
        <w:rFonts w:ascii="Aptos" w:hAnsi="Aptos"/>
        <w:color w:val="FF751F"/>
      </w:rPr>
    </w:lvl>
    <w:lvl w:ilvl="1">
      <w:start w:val="1"/>
      <w:numFmt w:val="bullet"/>
      <w:lvlText w:val="–"/>
      <w:suff w:val="tab"/>
      <w:pPr>
        <w:tabs>
          <w:tab w:val="num" w:pos="900"/>
        </w:tabs>
        <w:ind w:left="900" w:hanging="270"/>
        <w:spacing w:after="80" w:line="300" w:lineRule="auto"/>
      </w:pPr>
      <w:rPr>
        <w:rFonts w:ascii="Aptos" w:hAnsi="Aptos"/>
        <w:color w:val="FF751F"/>
      </w:rPr>
    </w:lvl>
    <w:lvl w:ilvl="2">
      <w:start w:val="1"/>
      <w:numFmt w:val="bullet"/>
      <w:lvlText w:val="◦"/>
      <w:suff w:val="tab"/>
      <w:pPr>
        <w:tabs>
          <w:tab w:val="num" w:pos="1260"/>
        </w:tabs>
        <w:ind w:left="1260" w:hanging="270"/>
        <w:spacing w:after="80" w:line="300" w:lineRule="auto"/>
      </w:pPr>
      <w:rPr>
        <w:rFonts w:ascii="Aptos" w:hAnsi="Aptos"/>
        <w:color w:val="FF751F"/>
      </w:rPr>
    </w:lvl>
    <w:lvl w:ilvl="3">
      <w:start w:val="1"/>
      <w:numFmt w:val="bullet"/>
      <w:lvlText w:val="▪"/>
      <w:suff w:val="tab"/>
      <w:pPr>
        <w:tabs>
          <w:tab w:val="num" w:pos="1620"/>
        </w:tabs>
        <w:ind w:left="1620" w:hanging="270"/>
        <w:spacing w:after="80" w:line="300" w:lineRule="auto"/>
      </w:pPr>
      <w:rPr>
        <w:rFonts w:ascii="Aptos" w:hAnsi="Aptos"/>
        <w:color w:val="FF751F"/>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2727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Aptos Display" w:hAnsi="Aptos Display"/>
      <w:b/>
      <w:bCs/>
      <w:color w:val="272727"/>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Aptos Display" w:hAnsi="Aptos Display"/>
      <w:b/>
      <w:bCs/>
      <w:color w:val="D95F13"/>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ptos Display" w:hAnsi="Aptos Display"/>
      <w:b/>
      <w:bCs/>
      <w:color w:val="272727"/>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Aptos" w:hAnsi="Aptos"/>
      <w:b/>
      <w:bCs/>
      <w:i/>
      <w:iCs/>
      <w:color w:val="272727"/>
      <w:sz w:val="22"/>
    </w:rPr>
  </w:style>
  <w:style w:type="paragraph" w:styleId="Heading5">
    <w:name w:val="heading 5"/>
    <w:basedOn w:val="Normal"/>
    <w:next w:val="Normal"/>
    <w:link w:val="Heading5Char"/>
    <w:uiPriority w:val="9"/>
    <w:semiHidden/>
    <w:unhideWhenUsed/>
    <w:qFormat/>
    <w:rsid w:val="00FC693F"/>
    <w:pPr>
      <w:keepNext/>
      <w:keepLines/>
      <w:widowControl/>
      <w:spacing w:before="120" w:after="60"/>
      <w:outlineLvl w:val="4"/>
    </w:pPr>
    <w:rPr>
      <w:rFonts w:asciiTheme="majorHAnsi" w:eastAsiaTheme="majorEastAsia" w:hAnsiTheme="majorHAnsi" w:cstheme="majorBidi" w:ascii="Aptos" w:hAnsi="Aptos"/>
      <w:b/>
      <w:color w:val="5F5F5F"/>
      <w:sz w:val="21"/>
    </w:rPr>
  </w:style>
  <w:style w:type="paragraph" w:styleId="Heading6">
    <w:name w:val="heading 6"/>
    <w:basedOn w:val="Normal"/>
    <w:next w:val="Normal"/>
    <w:link w:val="Heading6Char"/>
    <w:uiPriority w:val="9"/>
    <w:semiHidden/>
    <w:unhideWhenUsed/>
    <w:qFormat/>
    <w:rsid w:val="00FC693F"/>
    <w:pPr>
      <w:keepNext/>
      <w:keepLines/>
      <w:widowControl/>
      <w:spacing w:before="120" w:after="60"/>
      <w:outlineLvl w:val="5"/>
    </w:pPr>
    <w:rPr>
      <w:rFonts w:asciiTheme="majorHAnsi" w:eastAsiaTheme="majorEastAsia" w:hAnsiTheme="majorHAnsi" w:cstheme="majorBidi" w:ascii="Aptos" w:hAnsi="Aptos"/>
      <w:b/>
      <w:i/>
      <w:iCs/>
      <w:color w:val="5F5F5F"/>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2727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Aptos" w:hAnsi="Aptos"/>
      <w:b w:val="0"/>
      <w:i/>
      <w:iCs/>
      <w:color w:val="5F5F5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0" w:after="0" w:line="252" w:lineRule="auto"/>
      <w:ind w:left="202" w:right="202"/>
    </w:pPr>
    <w:rPr>
      <w:rFonts w:ascii="Consolas" w:hAnsi="Consolas"/>
      <w:color w:val="FFFFFF"/>
      <w:sz w:val="16"/>
    </w:rPr>
  </w:style>
  <w:style w:type="paragraph" w:customStyle="1" w:styleId="Callout">
    <w:name w:val="Callout"/>
    <w:pPr>
      <w:spacing w:before="120" w:after="160" w:line="288" w:lineRule="auto"/>
      <w:ind w:left="259" w:right="173"/>
    </w:pPr>
    <w:rPr>
      <w:rFonts w:ascii="Aptos" w:hAnsi="Aptos"/>
      <w:color w:val="272727"/>
      <w:sz w:val="21"/>
    </w:rPr>
  </w:style>
  <w:style w:type="paragraph" w:customStyle="1" w:styleId="Checklist">
    <w:name w:val="Checklist"/>
    <w:pPr>
      <w:spacing w:after="80" w:line="300" w:lineRule="auto"/>
      <w:ind w:left="547" w:hanging="288"/>
    </w:pPr>
    <w:rPr>
      <w:rFonts w:ascii="Aptos" w:hAnsi="Aptos"/>
      <w:color w:val="27272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2 Evidence SQL Pack - Free Sample (10 Queries)</dc:title>
  <dc:subject>Branded Word documentation for SOC 2 Evidence SQL Pack - Free Sample</dc:subject>
  <dc:creator>ControlSmith Tools</dc:creator>
  <cp:keywords/>
  <dc:description>Generated from the source Markdown file(s).</dc:description>
  <cp:lastModifiedBy>ControlSmith Tools</cp:lastModifiedBy>
  <cp:revision>1</cp:revision>
  <dcterms:created xsi:type="dcterms:W3CDTF">2013-12-23T23:15:00Z</dcterms:created>
  <dcterms:modified xsi:type="dcterms:W3CDTF">2013-12-23T23:15:00Z</dcterms:modified>
  <cp:category/>
</cp:coreProperties>
</file>