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7F5F0"/>
  <w:body>
    <w:p>
      <w:pPr>
        <w:spacing w:before="0" w:after="100"/>
      </w:pPr>
      <w:r>
        <w:rPr>
          <w:rFonts w:ascii="Consolas" w:hAnsi="Consolas"/>
          <w:b/>
          <w:color w:val="D95F13"/>
          <w:sz w:val="16"/>
        </w:rPr>
        <w:t>CONTROLSMITH TOOLS  /  PRODUCT DOCUMENTATION</w:t>
      </w:r>
    </w:p>
    <w:p>
      <w:pPr>
        <w:pStyle w:val="Title"/>
        <w:keepNext/>
      </w:pPr>
      <w:r>
        <w:rPr>
          <w:rFonts w:ascii="Aptos Display" w:hAnsi="Aptos Display"/>
          <w:b/>
          <w:color w:val="272727"/>
          <w:sz w:val="54"/>
        </w:rPr>
        <w:t>Legal, Licence and Purchase Terms</w:t>
      </w:r>
    </w:p>
    <w:p>
      <w:pPr>
        <w:pStyle w:val="Subtitle"/>
        <w:pBdr>
          <w:bottom w:val="single" w:sz="12" w:space="10" w:color="FF751F"/>
        </w:pBdr>
      </w:pPr>
      <w:r>
        <w:rPr>
          <w:rFonts w:ascii="Aptos" w:hAnsi="Aptos"/>
          <w:color w:val="5F5F5F"/>
          <w:sz w:val="21"/>
        </w:rPr>
        <w:t>SOC 2 Evidence SQL Pack - Free Sample  •  2 source documents consolidated</w:t>
      </w:r>
    </w:p>
    <w:p>
      <w:pPr>
        <w:pStyle w:val="Callout"/>
        <w:shd w:fill="FFFFFF"/>
        <w:pBdr>
          <w:left w:val="single" w:sz="18" w:space="8" w:color="FF751F"/>
        </w:pBdr>
      </w:pPr>
      <w:r>
        <w:rPr>
          <w:rFonts w:ascii="Aptos" w:hAnsi="Aptos"/>
          <w:color w:val="272727"/>
          <w:sz w:val="21"/>
        </w:rPr>
        <w:t>This document consolidates the licence, disclaimer, safe-use terms, and refund policy supplied with this product. Each section retains the wording of its source document.</w:t>
      </w:r>
    </w:p>
    <w:p>
      <w:pPr>
        <w:pStyle w:val="Heading1"/>
        <w:pBdr>
          <w:left w:val="single" w:sz="18" w:space="8" w:color="FF751F"/>
        </w:pBdr>
      </w:pPr>
      <w:r>
        <w:rPr>
          <w:rFonts w:ascii="Aptos" w:hAnsi="Aptos"/>
          <w:color w:val="272727"/>
          <w:sz w:val="32"/>
        </w:rPr>
        <w:t>Free Sample Licence</w:t>
      </w:r>
    </w:p>
    <w:p>
      <w:pPr>
        <w:widowControl/>
      </w:pPr>
      <w:r>
        <w:rPr>
          <w:rFonts w:ascii="Aptos" w:hAnsi="Aptos"/>
          <w:b/>
          <w:color w:val="272727"/>
          <w:sz w:val="22"/>
        </w:rPr>
        <w:t>SOC 2 Evidence SQL Pack - Free Sample</w:t>
      </w:r>
      <w:r>
        <w:rPr>
          <w:rFonts w:ascii="Aptos" w:hAnsi="Aptos"/>
          <w:color w:val="272727"/>
          <w:sz w:val="22"/>
        </w:rPr>
        <w:t xml:space="preserve"> Copyright © 2024-2026 ControlSmith Tools. All rights reserved.</w:t>
      </w:r>
    </w:p>
    <w:p>
      <w:pPr>
        <w:pStyle w:val="Heading2"/>
      </w:pPr>
      <w:r>
        <w:rPr>
          <w:rFonts w:ascii="Aptos" w:hAnsi="Aptos"/>
          <w:color w:val="272727"/>
          <w:sz w:val="26"/>
        </w:rPr>
        <w:t>What you may do</w:t>
      </w:r>
    </w:p>
    <w:p>
      <w:pPr>
        <w:spacing w:after="80" w:line="300" w:lineRule="auto"/>
        <w:numPr>
          <w:ilvl w:val="0"/>
          <w:numId w:val="10"/>
        </w:numPr>
      </w:pPr>
      <w:r>
        <w:rPr>
          <w:rFonts w:ascii="Aptos" w:hAnsi="Aptos"/>
          <w:color w:val="272727"/>
          <w:sz w:val="22"/>
        </w:rPr>
        <w:t>Use and adapt this sample within your organisation for internal audit,</w:t>
      </w:r>
    </w:p>
    <w:p>
      <w:pPr>
        <w:widowControl/>
      </w:pPr>
      <w:r>
        <w:rPr>
          <w:rFonts w:ascii="Aptos" w:hAnsi="Aptos"/>
          <w:color w:val="272727"/>
          <w:sz w:val="22"/>
        </w:rPr>
        <w:t>compliance, and evidence-collection purposes.</w:t>
      </w:r>
    </w:p>
    <w:p>
      <w:pPr>
        <w:spacing w:after="80" w:line="300" w:lineRule="auto"/>
        <w:numPr>
          <w:ilvl w:val="0"/>
          <w:numId w:val="11"/>
        </w:numPr>
      </w:pPr>
      <w:r>
        <w:rPr>
          <w:rFonts w:ascii="Aptos" w:hAnsi="Aptos"/>
          <w:color w:val="272727"/>
          <w:sz w:val="22"/>
        </w:rPr>
        <w:t>Share this sample, unmodified and with attribution intact, with colleagues</w:t>
      </w:r>
    </w:p>
    <w:p>
      <w:pPr>
        <w:widowControl/>
      </w:pPr>
      <w:r>
        <w:rPr>
          <w:rFonts w:ascii="Aptos" w:hAnsi="Aptos"/>
          <w:color w:val="272727"/>
          <w:sz w:val="22"/>
        </w:rPr>
        <w:t>or clients.</w:t>
      </w:r>
    </w:p>
    <w:p>
      <w:pPr>
        <w:pStyle w:val="Heading2"/>
      </w:pPr>
      <w:r>
        <w:rPr>
          <w:rFonts w:ascii="Aptos" w:hAnsi="Aptos"/>
          <w:color w:val="272727"/>
          <w:sz w:val="26"/>
        </w:rPr>
        <w:t>What you may not do</w:t>
      </w:r>
    </w:p>
    <w:p>
      <w:pPr>
        <w:spacing w:after="80" w:line="300" w:lineRule="auto"/>
        <w:numPr>
          <w:ilvl w:val="0"/>
          <w:numId w:val="12"/>
        </w:numPr>
      </w:pPr>
      <w:r>
        <w:rPr>
          <w:rFonts w:ascii="Aptos" w:hAnsi="Aptos"/>
          <w:color w:val="272727"/>
          <w:sz w:val="22"/>
        </w:rPr>
        <w:t>Sell this sample, or include it in a paid product or service.</w:t>
      </w:r>
    </w:p>
    <w:p>
      <w:pPr>
        <w:spacing w:after="80" w:line="300" w:lineRule="auto"/>
        <w:numPr>
          <w:ilvl w:val="0"/>
          <w:numId w:val="12"/>
        </w:numPr>
      </w:pPr>
      <w:r>
        <w:rPr>
          <w:rFonts w:ascii="Aptos" w:hAnsi="Aptos"/>
          <w:color w:val="272727"/>
          <w:sz w:val="22"/>
        </w:rPr>
        <w:t>Remove or alter copyright notices, disclaimers, or attribution.</w:t>
      </w:r>
    </w:p>
    <w:p>
      <w:pPr>
        <w:spacing w:after="80" w:line="300" w:lineRule="auto"/>
        <w:numPr>
          <w:ilvl w:val="0"/>
          <w:numId w:val="12"/>
        </w:numPr>
      </w:pPr>
      <w:r>
        <w:rPr>
          <w:rFonts w:ascii="Aptos" w:hAnsi="Aptos"/>
          <w:color w:val="272727"/>
          <w:sz w:val="22"/>
        </w:rPr>
        <w:t>Represent the sample as the full SOC 2 Evidence SQL Pack.</w:t>
      </w:r>
    </w:p>
    <w:p>
      <w:pPr>
        <w:pStyle w:val="Heading2"/>
      </w:pPr>
      <w:r>
        <w:rPr>
          <w:rFonts w:ascii="Aptos" w:hAnsi="Aptos"/>
          <w:color w:val="272727"/>
          <w:sz w:val="26"/>
        </w:rPr>
        <w:t>No warranty</w:t>
      </w:r>
    </w:p>
    <w:p>
      <w:pPr>
        <w:widowControl/>
      </w:pPr>
      <w:r>
        <w:rPr>
          <w:rFonts w:ascii="Aptos" w:hAnsi="Aptos"/>
          <w:color w:val="272727"/>
          <w:sz w:val="22"/>
        </w:rPr>
        <w:t>Provided "as is", without warranty of any kind, express or implied. Nothing in this sample constitutes legal advice, audit advice, or a representation that any content or output will satisfy any auditor, certification body, or regulatory requirement.</w:t>
      </w:r>
    </w:p>
    <w:p>
      <w:pPr>
        <w:pStyle w:val="Heading2"/>
      </w:pPr>
      <w:r>
        <w:rPr>
          <w:rFonts w:ascii="Aptos" w:hAnsi="Aptos"/>
          <w:color w:val="272727"/>
          <w:sz w:val="26"/>
        </w:rPr>
        <w:t>The full product</w:t>
      </w:r>
    </w:p>
    <w:p>
      <w:pPr>
        <w:widowControl/>
      </w:pPr>
      <w:r>
        <w:rPr>
          <w:rFonts w:ascii="Aptos" w:hAnsi="Aptos"/>
          <w:color w:val="272727"/>
          <w:sz w:val="22"/>
        </w:rPr>
        <w:t xml:space="preserve">The complete SOC 2 Evidence SQL Pack is sold under a single-organisation commercial licence at </w:t>
      </w:r>
      <w:hyperlink r:id="rId11">
        <w:r>
          <w:rPr>
            <w:rFonts w:ascii="Aptos" w:hAnsi="Aptos"/>
            <w:color w:val="D95F13"/>
            <w:u w:val="single"/>
          </w:rPr>
          <w:t>controlsmithtools.com</w:t>
        </w:r>
      </w:hyperlink>
      <w:r>
        <w:rPr>
          <w:rFonts w:ascii="Aptos" w:hAnsi="Aptos"/>
          <w:color w:val="272727"/>
          <w:sz w:val="22"/>
        </w:rPr>
        <w:t>.</w:t>
      </w:r>
    </w:p>
    <w:p>
      <w:pPr>
        <w:spacing w:before="100" w:after="100"/>
        <w:pBdr>
          <w:top w:val="single" w:sz="6" w:space="4" w:color="EBE6DD"/>
        </w:pBdr>
      </w:pPr>
    </w:p>
    <w:p>
      <w:pPr>
        <w:pStyle w:val="Heading1"/>
        <w:pBdr>
          <w:left w:val="single" w:sz="18" w:space="8" w:color="FF751F"/>
        </w:pBdr>
      </w:pPr>
      <w:r>
        <w:rPr>
          <w:rFonts w:ascii="Aptos" w:hAnsi="Aptos"/>
          <w:color w:val="272727"/>
          <w:sz w:val="32"/>
        </w:rPr>
        <w:t>Disclaimer</w:t>
      </w:r>
    </w:p>
    <w:p>
      <w:pPr>
        <w:widowControl/>
      </w:pPr>
      <w:r>
        <w:rPr>
          <w:rFonts w:ascii="Aptos" w:hAnsi="Aptos"/>
          <w:b/>
          <w:color w:val="272727"/>
          <w:sz w:val="22"/>
        </w:rPr>
        <w:t>SOC 2 Evidence SQL Pack - Free Sample</w:t>
      </w:r>
      <w:r>
        <w:rPr>
          <w:rFonts w:ascii="Aptos" w:hAnsi="Aptos"/>
          <w:color w:val="272727"/>
          <w:sz w:val="22"/>
        </w:rPr>
        <w:t xml:space="preserve"> is provided for informational and operational convenience purposes only.</w:t>
      </w:r>
    </w:p>
    <w:p>
      <w:pPr>
        <w:pStyle w:val="Heading2"/>
      </w:pPr>
      <w:r>
        <w:rPr>
          <w:rFonts w:ascii="Aptos" w:hAnsi="Aptos"/>
          <w:color w:val="272727"/>
          <w:sz w:val="26"/>
        </w:rPr>
        <w:t>Not legal or audit advice</w:t>
      </w:r>
    </w:p>
    <w:p>
      <w:pPr>
        <w:widowControl/>
      </w:pPr>
      <w:r>
        <w:rPr>
          <w:rFonts w:ascii="Aptos" w:hAnsi="Aptos"/>
          <w:color w:val="272727"/>
          <w:sz w:val="22"/>
        </w:rPr>
        <w:t>Nothing in this sample constitutes legal advice, audit advice, certification guidance, or a representation that any query, output, or document will satisfy any auditor, certification body, regulatory requirement, or contractual obligation.</w:t>
      </w:r>
    </w:p>
    <w:p>
      <w:pPr>
        <w:pStyle w:val="Heading2"/>
      </w:pPr>
      <w:r>
        <w:rPr>
          <w:rFonts w:ascii="Aptos" w:hAnsi="Aptos"/>
          <w:color w:val="272727"/>
          <w:sz w:val="26"/>
        </w:rPr>
        <w:t>No guarantee of audit acceptance</w:t>
      </w:r>
    </w:p>
    <w:p>
      <w:pPr>
        <w:widowControl/>
      </w:pPr>
      <w:r>
        <w:rPr>
          <w:rFonts w:ascii="Aptos" w:hAnsi="Aptos"/>
          <w:color w:val="272727"/>
          <w:sz w:val="22"/>
        </w:rPr>
        <w:t>Running these queries and retaining their outputs does not guarantee that a SOC 2 auditor, customer, or regulator will accept the evidence, find it sufficient, or certify any system or process. Auditors make independent judgements based on your specific environment, controls, and context.</w:t>
      </w:r>
    </w:p>
    <w:p>
      <w:pPr>
        <w:pStyle w:val="Heading2"/>
      </w:pPr>
      <w:r>
        <w:rPr>
          <w:rFonts w:ascii="Aptos" w:hAnsi="Aptos"/>
          <w:color w:val="272727"/>
          <w:sz w:val="26"/>
        </w:rPr>
        <w:t>Schema and accuracy</w:t>
      </w:r>
    </w:p>
    <w:p>
      <w:pPr>
        <w:widowControl/>
      </w:pPr>
      <w:r>
        <w:rPr>
          <w:rFonts w:ascii="Aptos" w:hAnsi="Aptos"/>
          <w:color w:val="272727"/>
          <w:sz w:val="22"/>
        </w:rPr>
        <w:t>The queries make explicit assumptions about the bundled sample schema. If your table names, column names, or data types differ, the queries must be adapted before use. Unadapted queries may return incorrect, incomplete, or misleading results.</w:t>
      </w:r>
    </w:p>
    <w:p>
      <w:pPr>
        <w:pStyle w:val="Heading2"/>
      </w:pPr>
      <w:r>
        <w:rPr>
          <w:rFonts w:ascii="Aptos" w:hAnsi="Aptos"/>
          <w:color w:val="272727"/>
          <w:sz w:val="26"/>
        </w:rPr>
        <w:t>Your responsibility</w:t>
      </w:r>
    </w:p>
    <w:p>
      <w:pPr>
        <w:widowControl/>
      </w:pPr>
      <w:r>
        <w:rPr>
          <w:rFonts w:ascii="Aptos" w:hAnsi="Aptos"/>
          <w:color w:val="272727"/>
          <w:sz w:val="22"/>
        </w:rPr>
        <w:t>You are responsible for adapting queries, validating outputs, storing evidence securely, and engaging qualified audit or legal professionals for compliance decisions.</w:t>
      </w:r>
    </w:p>
    <w:p>
      <w:pPr>
        <w:spacing w:before="100" w:after="100"/>
        <w:pBdr>
          <w:top w:val="single" w:sz="6" w:space="4" w:color="EBE6DD"/>
        </w:pBdr>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Pr>
    <w:tblGrid>
      <w:gridCol w:w="7200"/>
      <w:gridCol w:w="2160"/>
    </w:tblGrid>
    <w:tr>
      <w:tc>
        <w:tcPr>
          <w:tcW w:type="dxa" w:w="7200"/>
          <w:tcMar>
            <w:top w:w="40" w:type="dxa"/>
            <w:start w:w="0" w:type="dxa"/>
            <w:bottom w:w="0" w:type="dxa"/>
            <w:end w:w="0" w:type="dxa"/>
          </w:tcMar>
          <w:vAlign w:val="center"/>
        </w:tcPr>
        <w:p>
          <w:pPr>
            <w:spacing w:before="0" w:after="0"/>
          </w:pPr>
          <w:r>
            <w:rPr>
              <w:rFonts w:ascii="Consolas" w:hAnsi="Consolas"/>
              <w:color w:val="5F5F5F"/>
              <w:sz w:val="14"/>
            </w:rPr>
            <w:t>CONTROLSMITHTOOLS.COM  •  SUPPORT@CONTROLSMITHTOOLS.COM</w:t>
          </w:r>
        </w:p>
      </w:tc>
      <w:tc>
        <w:tcPr>
          <w:tcW w:type="dxa" w:w="2160"/>
          <w:tcMar>
            <w:top w:w="40" w:type="dxa"/>
            <w:start w:w="0" w:type="dxa"/>
            <w:bottom w:w="0" w:type="dxa"/>
            <w:end w:w="0" w:type="dxa"/>
          </w:tcMar>
          <w:vAlign w:val="center"/>
        </w:tcPr>
        <w:p>
          <w:pPr>
            <w:spacing w:before="0" w:after="0"/>
            <w:jc w:val="right"/>
          </w:pPr>
          <w:r>
            <w:rPr>
              <w:rFonts w:ascii="Consolas" w:hAnsi="Consolas"/>
              <w:color w:val="5F5F5F"/>
              <w:sz w:val="14"/>
            </w:rPr>
            <w:t xml:space="preserve">PAGE </w:t>
          </w:r>
          <w:r>
            <w:rPr>
              <w:rFonts w:ascii="Aptos" w:hAnsi="Aptos"/>
              <w:color w:val="5F5F5F"/>
              <w:sz w:val="17"/>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Display" w:hAnsi="Aptos Display"/>
        <w:b/>
        <w:color w:val="272727"/>
        <w:sz w:val="17"/>
      </w:rPr>
      <w:t>ControlSmith Tools</w:t>
    </w:r>
    <w:r>
      <w:rPr>
        <w:rFonts w:ascii="Consolas" w:hAnsi="Consolas"/>
        <w:color w:val="5F5F5F"/>
        <w:sz w:val="15"/>
      </w:rPr>
      <w:t xml:space="preserve">   /   SOC 2 Evidence SQL Pack - Free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suff w:val="tab"/>
      <w:pPr>
        <w:tabs>
          <w:tab w:val="num" w:pos="540"/>
        </w:tabs>
        <w:ind w:left="540" w:hanging="270"/>
        <w:spacing w:after="80" w:line="300" w:lineRule="auto"/>
      </w:pPr>
      <w:rPr>
        <w:rFonts w:ascii="Aptos" w:hAnsi="Aptos"/>
        <w:color w:val="FF751F"/>
      </w:rPr>
    </w:lvl>
    <w:lvl w:ilvl="1">
      <w:start w:val="1"/>
      <w:numFmt w:val="bullet"/>
      <w:lvlText w:val="–"/>
      <w:suff w:val="tab"/>
      <w:pPr>
        <w:tabs>
          <w:tab w:val="num" w:pos="900"/>
        </w:tabs>
        <w:ind w:left="900" w:hanging="270"/>
        <w:spacing w:after="80" w:line="300" w:lineRule="auto"/>
      </w:pPr>
      <w:rPr>
        <w:rFonts w:ascii="Aptos" w:hAnsi="Aptos"/>
        <w:color w:val="FF751F"/>
      </w:rPr>
    </w:lvl>
    <w:lvl w:ilvl="2">
      <w:start w:val="1"/>
      <w:numFmt w:val="bullet"/>
      <w:lvlText w:val="◦"/>
      <w:suff w:val="tab"/>
      <w:pPr>
        <w:tabs>
          <w:tab w:val="num" w:pos="1260"/>
        </w:tabs>
        <w:ind w:left="1260" w:hanging="270"/>
        <w:spacing w:after="80" w:line="300" w:lineRule="auto"/>
      </w:pPr>
      <w:rPr>
        <w:rFonts w:ascii="Aptos" w:hAnsi="Aptos"/>
        <w:color w:val="FF751F"/>
      </w:rPr>
    </w:lvl>
    <w:lvl w:ilvl="3">
      <w:start w:val="1"/>
      <w:numFmt w:val="bullet"/>
      <w:lvlText w:val="▪"/>
      <w:suff w:val="tab"/>
      <w:pPr>
        <w:tabs>
          <w:tab w:val="num" w:pos="1620"/>
        </w:tabs>
        <w:ind w:left="1620" w:hanging="270"/>
        <w:spacing w:after="80" w:line="300" w:lineRule="auto"/>
      </w:pPr>
      <w:rPr>
        <w:rFonts w:ascii="Aptos" w:hAnsi="Aptos"/>
        <w:color w:val="FF751F"/>
      </w:rPr>
    </w:lvl>
  </w:abstractNum>
  <w:num w:numId="10">
    <w:abstractNumId w:val="9"/>
  </w:num>
  <w:abstractNum w:abstractNumId="10">
    <w:multiLevelType w:val="multilevel"/>
    <w:lvl w:ilvl="0">
      <w:start w:val="1"/>
      <w:numFmt w:val="bullet"/>
      <w:lvlText w:val="•"/>
      <w:suff w:val="tab"/>
      <w:pPr>
        <w:tabs>
          <w:tab w:val="num" w:pos="540"/>
        </w:tabs>
        <w:ind w:left="540" w:hanging="270"/>
        <w:spacing w:after="80" w:line="300" w:lineRule="auto"/>
      </w:pPr>
      <w:rPr>
        <w:rFonts w:ascii="Aptos" w:hAnsi="Aptos"/>
        <w:color w:val="FF751F"/>
      </w:rPr>
    </w:lvl>
    <w:lvl w:ilvl="1">
      <w:start w:val="1"/>
      <w:numFmt w:val="bullet"/>
      <w:lvlText w:val="–"/>
      <w:suff w:val="tab"/>
      <w:pPr>
        <w:tabs>
          <w:tab w:val="num" w:pos="900"/>
        </w:tabs>
        <w:ind w:left="900" w:hanging="270"/>
        <w:spacing w:after="80" w:line="300" w:lineRule="auto"/>
      </w:pPr>
      <w:rPr>
        <w:rFonts w:ascii="Aptos" w:hAnsi="Aptos"/>
        <w:color w:val="FF751F"/>
      </w:rPr>
    </w:lvl>
    <w:lvl w:ilvl="2">
      <w:start w:val="1"/>
      <w:numFmt w:val="bullet"/>
      <w:lvlText w:val="◦"/>
      <w:suff w:val="tab"/>
      <w:pPr>
        <w:tabs>
          <w:tab w:val="num" w:pos="1260"/>
        </w:tabs>
        <w:ind w:left="1260" w:hanging="270"/>
        <w:spacing w:after="80" w:line="300" w:lineRule="auto"/>
      </w:pPr>
      <w:rPr>
        <w:rFonts w:ascii="Aptos" w:hAnsi="Aptos"/>
        <w:color w:val="FF751F"/>
      </w:rPr>
    </w:lvl>
    <w:lvl w:ilvl="3">
      <w:start w:val="1"/>
      <w:numFmt w:val="bullet"/>
      <w:lvlText w:val="▪"/>
      <w:suff w:val="tab"/>
      <w:pPr>
        <w:tabs>
          <w:tab w:val="num" w:pos="1620"/>
        </w:tabs>
        <w:ind w:left="1620" w:hanging="270"/>
        <w:spacing w:after="80" w:line="300" w:lineRule="auto"/>
      </w:pPr>
      <w:rPr>
        <w:rFonts w:ascii="Aptos" w:hAnsi="Aptos"/>
        <w:color w:val="FF751F"/>
      </w:rPr>
    </w:lvl>
  </w:abstractNum>
  <w:num w:numId="11">
    <w:abstractNumId w:val="10"/>
  </w:num>
  <w:abstractNum w:abstractNumId="11">
    <w:multiLevelType w:val="multilevel"/>
    <w:lvl w:ilvl="0">
      <w:start w:val="1"/>
      <w:numFmt w:val="bullet"/>
      <w:lvlText w:val="•"/>
      <w:suff w:val="tab"/>
      <w:pPr>
        <w:tabs>
          <w:tab w:val="num" w:pos="540"/>
        </w:tabs>
        <w:ind w:left="540" w:hanging="270"/>
        <w:spacing w:after="80" w:line="300" w:lineRule="auto"/>
      </w:pPr>
      <w:rPr>
        <w:rFonts w:ascii="Aptos" w:hAnsi="Aptos"/>
        <w:color w:val="FF751F"/>
      </w:rPr>
    </w:lvl>
    <w:lvl w:ilvl="1">
      <w:start w:val="1"/>
      <w:numFmt w:val="bullet"/>
      <w:lvlText w:val="–"/>
      <w:suff w:val="tab"/>
      <w:pPr>
        <w:tabs>
          <w:tab w:val="num" w:pos="900"/>
        </w:tabs>
        <w:ind w:left="900" w:hanging="270"/>
        <w:spacing w:after="80" w:line="300" w:lineRule="auto"/>
      </w:pPr>
      <w:rPr>
        <w:rFonts w:ascii="Aptos" w:hAnsi="Aptos"/>
        <w:color w:val="FF751F"/>
      </w:rPr>
    </w:lvl>
    <w:lvl w:ilvl="2">
      <w:start w:val="1"/>
      <w:numFmt w:val="bullet"/>
      <w:lvlText w:val="◦"/>
      <w:suff w:val="tab"/>
      <w:pPr>
        <w:tabs>
          <w:tab w:val="num" w:pos="1260"/>
        </w:tabs>
        <w:ind w:left="1260" w:hanging="270"/>
        <w:spacing w:after="80" w:line="300" w:lineRule="auto"/>
      </w:pPr>
      <w:rPr>
        <w:rFonts w:ascii="Aptos" w:hAnsi="Aptos"/>
        <w:color w:val="FF751F"/>
      </w:rPr>
    </w:lvl>
    <w:lvl w:ilvl="3">
      <w:start w:val="1"/>
      <w:numFmt w:val="bullet"/>
      <w:lvlText w:val="▪"/>
      <w:suff w:val="tab"/>
      <w:pPr>
        <w:tabs>
          <w:tab w:val="num" w:pos="1620"/>
        </w:tabs>
        <w:ind w:left="1620" w:hanging="270"/>
        <w:spacing w:after="80" w:line="300" w:lineRule="auto"/>
      </w:pPr>
      <w:rPr>
        <w:rFonts w:ascii="Aptos" w:hAnsi="Aptos"/>
        <w:color w:val="FF751F"/>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ptos" w:hAnsi="Aptos"/>
      <w:color w:val="2727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Aptos Display" w:hAnsi="Aptos Display"/>
      <w:b/>
      <w:bCs/>
      <w:color w:val="272727"/>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Aptos Display" w:hAnsi="Aptos Display"/>
      <w:b/>
      <w:bCs/>
      <w:color w:val="D95F13"/>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Aptos Display" w:hAnsi="Aptos Display"/>
      <w:b/>
      <w:bCs/>
      <w:color w:val="272727"/>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80"/>
      <w:outlineLvl w:val="3"/>
    </w:pPr>
    <w:rPr>
      <w:rFonts w:asciiTheme="majorHAnsi" w:eastAsiaTheme="majorEastAsia" w:hAnsiTheme="majorHAnsi" w:cstheme="majorBidi" w:ascii="Aptos" w:hAnsi="Aptos"/>
      <w:b/>
      <w:bCs/>
      <w:i/>
      <w:iCs/>
      <w:color w:val="272727"/>
      <w:sz w:val="22"/>
    </w:rPr>
  </w:style>
  <w:style w:type="paragraph" w:styleId="Heading5">
    <w:name w:val="heading 5"/>
    <w:basedOn w:val="Normal"/>
    <w:next w:val="Normal"/>
    <w:link w:val="Heading5Char"/>
    <w:uiPriority w:val="9"/>
    <w:semiHidden/>
    <w:unhideWhenUsed/>
    <w:qFormat/>
    <w:rsid w:val="00FC693F"/>
    <w:pPr>
      <w:keepNext/>
      <w:keepLines/>
      <w:widowControl/>
      <w:spacing w:before="120" w:after="60"/>
      <w:outlineLvl w:val="4"/>
    </w:pPr>
    <w:rPr>
      <w:rFonts w:asciiTheme="majorHAnsi" w:eastAsiaTheme="majorEastAsia" w:hAnsiTheme="majorHAnsi" w:cstheme="majorBidi" w:ascii="Aptos" w:hAnsi="Aptos"/>
      <w:b/>
      <w:color w:val="5F5F5F"/>
      <w:sz w:val="21"/>
    </w:rPr>
  </w:style>
  <w:style w:type="paragraph" w:styleId="Heading6">
    <w:name w:val="heading 6"/>
    <w:basedOn w:val="Normal"/>
    <w:next w:val="Normal"/>
    <w:link w:val="Heading6Char"/>
    <w:uiPriority w:val="9"/>
    <w:semiHidden/>
    <w:unhideWhenUsed/>
    <w:qFormat/>
    <w:rsid w:val="00FC693F"/>
    <w:pPr>
      <w:keepNext/>
      <w:keepLines/>
      <w:widowControl/>
      <w:spacing w:before="120" w:after="60"/>
      <w:outlineLvl w:val="5"/>
    </w:pPr>
    <w:rPr>
      <w:rFonts w:asciiTheme="majorHAnsi" w:eastAsiaTheme="majorEastAsia" w:hAnsiTheme="majorHAnsi" w:cstheme="majorBidi" w:ascii="Aptos" w:hAnsi="Aptos"/>
      <w:b/>
      <w:i/>
      <w:iCs/>
      <w:color w:val="5F5F5F"/>
      <w:sz w:val="2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27272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360"/>
    </w:pPr>
    <w:rPr>
      <w:rFonts w:asciiTheme="majorHAnsi" w:eastAsiaTheme="majorEastAsia" w:hAnsiTheme="majorHAnsi" w:cstheme="majorBidi" w:ascii="Aptos" w:hAnsi="Aptos"/>
      <w:b w:val="0"/>
      <w:i/>
      <w:iCs/>
      <w:color w:val="5F5F5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val="0"/>
      <w:spacing w:before="0" w:after="0" w:line="252" w:lineRule="auto"/>
      <w:ind w:left="202" w:right="202"/>
    </w:pPr>
    <w:rPr>
      <w:rFonts w:ascii="Consolas" w:hAnsi="Consolas"/>
      <w:color w:val="FFFFFF"/>
      <w:sz w:val="16"/>
    </w:rPr>
  </w:style>
  <w:style w:type="paragraph" w:customStyle="1" w:styleId="Callout">
    <w:name w:val="Callout"/>
    <w:pPr>
      <w:spacing w:before="120" w:after="160" w:line="288" w:lineRule="auto"/>
      <w:ind w:left="259" w:right="173"/>
    </w:pPr>
    <w:rPr>
      <w:rFonts w:ascii="Aptos" w:hAnsi="Aptos"/>
      <w:color w:val="272727"/>
      <w:sz w:val="21"/>
    </w:rPr>
  </w:style>
  <w:style w:type="paragraph" w:customStyle="1" w:styleId="Checklist">
    <w:name w:val="Checklist"/>
    <w:pPr>
      <w:spacing w:after="80" w:line="300" w:lineRule="auto"/>
      <w:ind w:left="547" w:hanging="288"/>
    </w:pPr>
    <w:rPr>
      <w:rFonts w:ascii="Aptos" w:hAnsi="Aptos"/>
      <w:color w:val="27272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ontrolsmitht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Licence and Purchase Terms</dc:title>
  <dc:subject>Branded Word documentation for SOC 2 Evidence SQL Pack - Free Sample</dc:subject>
  <dc:creator>ControlSmith Tools</dc:creator>
  <cp:keywords/>
  <dc:description>Generated from the source document(s).</dc:description>
  <cp:lastModifiedBy>ControlSmith Tools</cp:lastModifiedBy>
  <cp:revision>1</cp:revision>
  <dcterms:created xsi:type="dcterms:W3CDTF">2013-12-23T23:15:00Z</dcterms:created>
  <dcterms:modified xsi:type="dcterms:W3CDTF">2013-12-23T23:15:00Z</dcterms:modified>
  <cp:category/>
</cp:coreProperties>
</file>