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F5F0"/>
  <w:body>
    <w:p>
      <w:pPr>
        <w:spacing w:before="0" w:after="100"/>
      </w:pPr>
      <w:r>
        <w:rPr>
          <w:rFonts w:ascii="Consolas" w:hAnsi="Consolas"/>
          <w:b/>
          <w:color w:val="D95F13"/>
          <w:sz w:val="16"/>
        </w:rPr>
        <w:t>CONTROLSMITH TOOLS  /  PRODUCT DOCUMENTATION</w:t>
      </w:r>
    </w:p>
    <w:p>
      <w:pPr>
        <w:pStyle w:val="Title"/>
        <w:keepNext/>
      </w:pPr>
      <w:r>
        <w:rPr>
          <w:rFonts w:ascii="Aptos Display" w:hAnsi="Aptos Display"/>
          <w:b/>
          <w:color w:val="272727"/>
          <w:sz w:val="54"/>
        </w:rPr>
        <w:t>Legal, Licence and Purchase Terms</w:t>
      </w:r>
    </w:p>
    <w:p>
      <w:pPr>
        <w:pStyle w:val="Subtitle"/>
        <w:pBdr>
          <w:bottom w:val="single" w:sz="12" w:space="10" w:color="FF751F"/>
        </w:pBdr>
      </w:pPr>
      <w:r>
        <w:rPr>
          <w:rFonts w:ascii="Aptos" w:hAnsi="Aptos"/>
          <w:color w:val="5F5F5F"/>
          <w:sz w:val="21"/>
        </w:rPr>
        <w:t>SQL Audit Snippet Library - Free Sample  •  2 source documents consolidated</w:t>
      </w:r>
    </w:p>
    <w:p>
      <w:pPr>
        <w:pStyle w:val="Callout"/>
        <w:shd w:fill="FFFFFF"/>
        <w:pBdr>
          <w:left w:val="single" w:sz="18" w:space="8" w:color="FF751F"/>
        </w:pBdr>
      </w:pPr>
      <w:r>
        <w:rPr>
          <w:rFonts w:ascii="Aptos" w:hAnsi="Aptos"/>
          <w:color w:val="272727"/>
          <w:sz w:val="21"/>
        </w:rPr>
        <w:t>This document consolidates the licence, disclaimer, safe-use terms, and refund policy supplied with this product. Each section retains the wording of its source document.</w:t>
      </w:r>
    </w:p>
    <w:p>
      <w:pPr>
        <w:pStyle w:val="Heading1"/>
        <w:pBdr>
          <w:left w:val="single" w:sz="18" w:space="8" w:color="FF751F"/>
        </w:pBdr>
      </w:pPr>
      <w:r>
        <w:rPr>
          <w:rFonts w:ascii="Aptos" w:hAnsi="Aptos"/>
          <w:color w:val="272727"/>
          <w:sz w:val="32"/>
        </w:rPr>
        <w:t>Free Sample Licence</w:t>
      </w:r>
    </w:p>
    <w:p>
      <w:pPr>
        <w:widowControl/>
      </w:pPr>
      <w:r>
        <w:rPr>
          <w:rFonts w:ascii="Aptos" w:hAnsi="Aptos"/>
          <w:b/>
          <w:color w:val="272727"/>
          <w:sz w:val="22"/>
        </w:rPr>
        <w:t>SQL Audit Snippet Library - Free Sample</w:t>
      </w:r>
      <w:r>
        <w:rPr>
          <w:rFonts w:ascii="Aptos" w:hAnsi="Aptos"/>
          <w:color w:val="272727"/>
          <w:sz w:val="22"/>
        </w:rPr>
        <w:t xml:space="preserve"> Copyright © 2024-2026 ControlSmith Tools. All rights reserved.</w:t>
      </w:r>
    </w:p>
    <w:p>
      <w:pPr>
        <w:pStyle w:val="Heading2"/>
      </w:pPr>
      <w:r>
        <w:rPr>
          <w:rFonts w:ascii="Aptos" w:hAnsi="Aptos"/>
          <w:color w:val="272727"/>
          <w:sz w:val="26"/>
        </w:rPr>
        <w:t>What you may do</w:t>
      </w:r>
    </w:p>
    <w:p>
      <w:pPr>
        <w:spacing w:after="80" w:line="300" w:lineRule="auto"/>
        <w:numPr>
          <w:ilvl w:val="0"/>
          <w:numId w:val="10"/>
        </w:numPr>
      </w:pPr>
      <w:r>
        <w:rPr>
          <w:rFonts w:ascii="Aptos" w:hAnsi="Aptos"/>
          <w:color w:val="272727"/>
          <w:sz w:val="22"/>
        </w:rPr>
        <w:t>Use and adapt this sample within your organisation for internal audit,</w:t>
      </w:r>
    </w:p>
    <w:p>
      <w:pPr>
        <w:widowControl/>
      </w:pPr>
      <w:r>
        <w:rPr>
          <w:rFonts w:ascii="Aptos" w:hAnsi="Aptos"/>
          <w:color w:val="272727"/>
          <w:sz w:val="22"/>
        </w:rPr>
        <w:t>compliance, and evidence-collection purposes.</w:t>
      </w:r>
    </w:p>
    <w:p>
      <w:pPr>
        <w:spacing w:after="80" w:line="300" w:lineRule="auto"/>
        <w:numPr>
          <w:ilvl w:val="0"/>
          <w:numId w:val="11"/>
        </w:numPr>
      </w:pPr>
      <w:r>
        <w:rPr>
          <w:rFonts w:ascii="Aptos" w:hAnsi="Aptos"/>
          <w:color w:val="272727"/>
          <w:sz w:val="22"/>
        </w:rPr>
        <w:t>Share this sample, unmodified and with attribution intact, with colleagues</w:t>
      </w:r>
    </w:p>
    <w:p>
      <w:pPr>
        <w:widowControl/>
      </w:pPr>
      <w:r>
        <w:rPr>
          <w:rFonts w:ascii="Aptos" w:hAnsi="Aptos"/>
          <w:color w:val="272727"/>
          <w:sz w:val="22"/>
        </w:rPr>
        <w:t>or clients.</w:t>
      </w:r>
    </w:p>
    <w:p>
      <w:pPr>
        <w:pStyle w:val="Heading2"/>
      </w:pPr>
      <w:r>
        <w:rPr>
          <w:rFonts w:ascii="Aptos" w:hAnsi="Aptos"/>
          <w:color w:val="272727"/>
          <w:sz w:val="26"/>
        </w:rPr>
        <w:t>What you may not do</w:t>
      </w:r>
    </w:p>
    <w:p>
      <w:pPr>
        <w:spacing w:after="80" w:line="300" w:lineRule="auto"/>
        <w:numPr>
          <w:ilvl w:val="0"/>
          <w:numId w:val="12"/>
        </w:numPr>
      </w:pPr>
      <w:r>
        <w:rPr>
          <w:rFonts w:ascii="Aptos" w:hAnsi="Aptos"/>
          <w:color w:val="272727"/>
          <w:sz w:val="22"/>
        </w:rPr>
        <w:t>Sell this sample, or include it in a paid product or service.</w:t>
      </w:r>
    </w:p>
    <w:p>
      <w:pPr>
        <w:spacing w:after="80" w:line="300" w:lineRule="auto"/>
        <w:numPr>
          <w:ilvl w:val="0"/>
          <w:numId w:val="12"/>
        </w:numPr>
      </w:pPr>
      <w:r>
        <w:rPr>
          <w:rFonts w:ascii="Aptos" w:hAnsi="Aptos"/>
          <w:color w:val="272727"/>
          <w:sz w:val="22"/>
        </w:rPr>
        <w:t>Remove or alter copyright notices, disclaimers, or attribution.</w:t>
      </w:r>
    </w:p>
    <w:p>
      <w:pPr>
        <w:spacing w:after="80" w:line="300" w:lineRule="auto"/>
        <w:numPr>
          <w:ilvl w:val="0"/>
          <w:numId w:val="12"/>
        </w:numPr>
      </w:pPr>
      <w:r>
        <w:rPr>
          <w:rFonts w:ascii="Aptos" w:hAnsi="Aptos"/>
          <w:color w:val="272727"/>
          <w:sz w:val="22"/>
        </w:rPr>
        <w:t>Represent the sample as the full SQL Audit Snippet Library.</w:t>
      </w:r>
    </w:p>
    <w:p>
      <w:pPr>
        <w:pStyle w:val="Heading2"/>
      </w:pPr>
      <w:r>
        <w:rPr>
          <w:rFonts w:ascii="Aptos" w:hAnsi="Aptos"/>
          <w:color w:val="272727"/>
          <w:sz w:val="26"/>
        </w:rPr>
        <w:t>No warranty</w:t>
      </w:r>
    </w:p>
    <w:p>
      <w:pPr>
        <w:widowControl/>
      </w:pPr>
      <w:r>
        <w:rPr>
          <w:rFonts w:ascii="Aptos" w:hAnsi="Aptos"/>
          <w:color w:val="272727"/>
          <w:sz w:val="22"/>
        </w:rPr>
        <w:t>Provided "as is", without warranty of any kind, express or implied. Nothing in this sample constitutes legal advice, audit advice, or a representation that any content or output will satisfy any auditor, certification body, or regulatory requirement.</w:t>
      </w:r>
    </w:p>
    <w:p>
      <w:pPr>
        <w:pStyle w:val="Heading2"/>
      </w:pPr>
      <w:r>
        <w:rPr>
          <w:rFonts w:ascii="Aptos" w:hAnsi="Aptos"/>
          <w:color w:val="272727"/>
          <w:sz w:val="26"/>
        </w:rPr>
        <w:t>The full product</w:t>
      </w:r>
    </w:p>
    <w:p>
      <w:pPr>
        <w:widowControl/>
      </w:pPr>
      <w:r>
        <w:rPr>
          <w:rFonts w:ascii="Aptos" w:hAnsi="Aptos"/>
          <w:color w:val="272727"/>
          <w:sz w:val="22"/>
        </w:rPr>
        <w:t xml:space="preserve">The complete SQL Audit Snippet Library is sold under a single-organisation commercial licence at </w:t>
      </w:r>
      <w:hyperlink r:id="rId11">
        <w:r>
          <w:rPr>
            <w:rFonts w:ascii="Aptos" w:hAnsi="Aptos"/>
            <w:color w:val="D95F13"/>
            <w:u w:val="single"/>
          </w:rPr>
          <w:t>controlsmithtools.com</w:t>
        </w:r>
      </w:hyperlink>
      <w:r>
        <w:rPr>
          <w:rFonts w:ascii="Aptos" w:hAnsi="Aptos"/>
          <w:color w:val="272727"/>
          <w:sz w:val="22"/>
        </w:rPr>
        <w:t>.</w:t>
      </w:r>
    </w:p>
    <w:p>
      <w:pPr>
        <w:spacing w:before="100" w:after="100"/>
        <w:pBdr>
          <w:top w:val="single" w:sz="6" w:space="4" w:color="EBE6DD"/>
        </w:pBdr>
      </w:pPr>
    </w:p>
    <w:p>
      <w:pPr>
        <w:pStyle w:val="Heading1"/>
        <w:pBdr>
          <w:left w:val="single" w:sz="18" w:space="8" w:color="FF751F"/>
        </w:pBdr>
      </w:pPr>
      <w:r>
        <w:rPr>
          <w:rFonts w:ascii="Aptos" w:hAnsi="Aptos"/>
          <w:color w:val="272727"/>
          <w:sz w:val="32"/>
        </w:rPr>
        <w:t>DISCLAIMER - LS-004 SQL Audit Snippet and Pattern Library</w:t>
      </w:r>
    </w:p>
    <w:p>
      <w:pPr>
        <w:pStyle w:val="Heading2"/>
      </w:pPr>
      <w:r>
        <w:rPr>
          <w:rFonts w:ascii="Aptos" w:hAnsi="Aptos"/>
          <w:color w:val="272727"/>
          <w:sz w:val="26"/>
        </w:rPr>
        <w:t>Reference Material Only</w:t>
      </w:r>
    </w:p>
    <w:p>
      <w:pPr>
        <w:widowControl/>
      </w:pPr>
      <w:r>
        <w:rPr>
          <w:rFonts w:ascii="Aptos" w:hAnsi="Aptos"/>
          <w:color w:val="272727"/>
          <w:sz w:val="22"/>
        </w:rPr>
        <w:t xml:space="preserve">The SQL snippets and patterns in this library are provided as </w:t>
      </w:r>
      <w:r>
        <w:rPr>
          <w:rFonts w:ascii="Aptos" w:hAnsi="Aptos"/>
          <w:b/>
          <w:color w:val="272727"/>
          <w:sz w:val="22"/>
        </w:rPr>
        <w:t>reference material only</w:t>
      </w:r>
      <w:r>
        <w:rPr>
          <w:rFonts w:ascii="Aptos" w:hAnsi="Aptos"/>
          <w:color w:val="272727"/>
          <w:sz w:val="22"/>
        </w:rPr>
        <w:t>.</w:t>
      </w:r>
    </w:p>
    <w:p>
      <w:pPr>
        <w:widowControl/>
      </w:pPr>
      <w:r>
        <w:rPr>
          <w:rFonts w:ascii="Aptos" w:hAnsi="Aptos"/>
          <w:color w:val="272727"/>
          <w:sz w:val="22"/>
        </w:rPr>
        <w:t>They are not:</w:t>
      </w:r>
    </w:p>
    <w:p>
      <w:pPr>
        <w:spacing w:after="80" w:line="300" w:lineRule="auto"/>
        <w:numPr>
          <w:ilvl w:val="0"/>
          <w:numId w:val="13"/>
        </w:numPr>
      </w:pPr>
      <w:r>
        <w:rPr>
          <w:rFonts w:ascii="Aptos" w:hAnsi="Aptos"/>
          <w:color w:val="272727"/>
          <w:sz w:val="22"/>
        </w:rPr>
        <w:t>Legal advice</w:t>
      </w:r>
    </w:p>
    <w:p>
      <w:pPr>
        <w:spacing w:after="80" w:line="300" w:lineRule="auto"/>
        <w:numPr>
          <w:ilvl w:val="0"/>
          <w:numId w:val="13"/>
        </w:numPr>
      </w:pPr>
      <w:r>
        <w:rPr>
          <w:rFonts w:ascii="Aptos" w:hAnsi="Aptos"/>
          <w:color w:val="272727"/>
          <w:sz w:val="22"/>
        </w:rPr>
        <w:t>Audit opinions</w:t>
      </w:r>
    </w:p>
    <w:p>
      <w:pPr>
        <w:spacing w:after="80" w:line="300" w:lineRule="auto"/>
        <w:numPr>
          <w:ilvl w:val="0"/>
          <w:numId w:val="13"/>
        </w:numPr>
      </w:pPr>
      <w:r>
        <w:rPr>
          <w:rFonts w:ascii="Aptos" w:hAnsi="Aptos"/>
          <w:color w:val="272727"/>
          <w:sz w:val="22"/>
        </w:rPr>
        <w:t>Accounting advice</w:t>
      </w:r>
    </w:p>
    <w:p>
      <w:pPr>
        <w:spacing w:after="80" w:line="300" w:lineRule="auto"/>
        <w:numPr>
          <w:ilvl w:val="0"/>
          <w:numId w:val="13"/>
        </w:numPr>
      </w:pPr>
      <w:r>
        <w:rPr>
          <w:rFonts w:ascii="Aptos" w:hAnsi="Aptos"/>
          <w:color w:val="272727"/>
          <w:sz w:val="22"/>
        </w:rPr>
        <w:t>Certification guidance</w:t>
      </w:r>
    </w:p>
    <w:p>
      <w:pPr>
        <w:spacing w:after="80" w:line="300" w:lineRule="auto"/>
        <w:numPr>
          <w:ilvl w:val="0"/>
          <w:numId w:val="13"/>
        </w:numPr>
      </w:pPr>
      <w:r>
        <w:rPr>
          <w:rFonts w:ascii="Aptos" w:hAnsi="Aptos"/>
          <w:color w:val="272727"/>
          <w:sz w:val="22"/>
        </w:rPr>
        <w:t>Guaranteed to be free of errors or vulnerabilities</w:t>
      </w:r>
    </w:p>
    <w:p>
      <w:pPr>
        <w:pStyle w:val="Heading2"/>
      </w:pPr>
      <w:r>
        <w:rPr>
          <w:rFonts w:ascii="Aptos" w:hAnsi="Aptos"/>
          <w:color w:val="272727"/>
          <w:sz w:val="26"/>
        </w:rPr>
        <w:t>No Warranty</w:t>
      </w:r>
    </w:p>
    <w:p>
      <w:pPr>
        <w:widowControl/>
      </w:pPr>
      <w:r>
        <w:rPr>
          <w:rFonts w:ascii="Aptos" w:hAnsi="Aptos"/>
          <w:color w:val="272727"/>
          <w:sz w:val="22"/>
        </w:rPr>
        <w:t>The snippets are provided "as is" without warranty of any kind, express or implied. ControlSmith Tools makes no representations that any snippet will produce correct results when run against your specific database, schema, or dataset.</w:t>
      </w:r>
    </w:p>
    <w:p>
      <w:pPr>
        <w:widowControl/>
      </w:pPr>
      <w:r>
        <w:rPr>
          <w:rFonts w:ascii="Aptos" w:hAnsi="Aptos"/>
          <w:color w:val="272727"/>
          <w:sz w:val="22"/>
        </w:rPr>
        <w:t>Always test snippets against a sample dataset before using them in a formal audit or evidence-collection process.</w:t>
      </w:r>
    </w:p>
    <w:p>
      <w:pPr>
        <w:pStyle w:val="Heading2"/>
      </w:pPr>
      <w:r>
        <w:rPr>
          <w:rFonts w:ascii="Aptos" w:hAnsi="Aptos"/>
          <w:color w:val="272727"/>
          <w:sz w:val="26"/>
        </w:rPr>
        <w:t>Schema Variation</w:t>
      </w:r>
    </w:p>
    <w:p>
      <w:pPr>
        <w:widowControl/>
      </w:pPr>
      <w:r>
        <w:rPr>
          <w:rFonts w:ascii="Aptos" w:hAnsi="Aptos"/>
          <w:color w:val="272727"/>
          <w:sz w:val="22"/>
        </w:rPr>
        <w:t xml:space="preserve">Every snippet includes </w:t>
      </w:r>
      <w:r>
        <w:rPr>
          <w:rFonts w:ascii="Consolas" w:hAnsi="Consolas"/>
          <w:color w:val="272727"/>
          <w:sz w:val="21"/>
          <w:shd w:fill="F0EDE7"/>
        </w:rPr>
        <w:t>-- ADAPT:</w:t>
      </w:r>
      <w:r>
        <w:rPr>
          <w:rFonts w:ascii="Aptos" w:hAnsi="Aptos"/>
          <w:color w:val="272727"/>
          <w:sz w:val="22"/>
        </w:rPr>
        <w:t xml:space="preserve"> comments marking required substitutions. Failure to adapt placeholders to your actual schema will produce errors or meaningless results.</w:t>
      </w:r>
    </w:p>
    <w:p>
      <w:pPr>
        <w:pStyle w:val="Heading2"/>
      </w:pPr>
      <w:r>
        <w:rPr>
          <w:rFonts w:ascii="Aptos" w:hAnsi="Aptos"/>
          <w:color w:val="272727"/>
          <w:sz w:val="26"/>
        </w:rPr>
        <w:t>Performance</w:t>
      </w:r>
    </w:p>
    <w:p>
      <w:pPr>
        <w:widowControl/>
      </w:pPr>
      <w:r>
        <w:rPr>
          <w:rFonts w:ascii="Aptos" w:hAnsi="Aptos"/>
          <w:color w:val="272727"/>
          <w:sz w:val="22"/>
        </w:rPr>
        <w:t>No performance guarantees are made. Snippets may need optimisation (indexes, CTEs, batch limits) before running on large production tables. Do not run unoptimised snippets against production databases under load.</w:t>
      </w:r>
    </w:p>
    <w:p>
      <w:pPr>
        <w:pStyle w:val="Heading2"/>
      </w:pPr>
      <w:r>
        <w:rPr>
          <w:rFonts w:ascii="Aptos" w:hAnsi="Aptos"/>
          <w:color w:val="272727"/>
          <w:sz w:val="26"/>
        </w:rPr>
        <w:t>No Debugging Service</w:t>
      </w:r>
    </w:p>
    <w:p>
      <w:pPr>
        <w:widowControl/>
      </w:pPr>
      <w:r>
        <w:rPr>
          <w:rFonts w:ascii="Aptos" w:hAnsi="Aptos"/>
          <w:color w:val="272727"/>
          <w:sz w:val="22"/>
        </w:rPr>
        <w:t>Purchase includes the snippet files and documentation only. No debugging of buyer databases, no custom query writing, and no support beyond the documentation provided.</w:t>
      </w:r>
    </w:p>
    <w:p>
      <w:pPr>
        <w:pStyle w:val="Heading2"/>
      </w:pPr>
      <w:r>
        <w:rPr>
          <w:rFonts w:ascii="Aptos" w:hAnsi="Aptos"/>
          <w:color w:val="272727"/>
          <w:sz w:val="26"/>
        </w:rPr>
        <w:t>Liability</w:t>
      </w:r>
    </w:p>
    <w:p>
      <w:pPr>
        <w:widowControl/>
      </w:pPr>
      <w:r>
        <w:rPr>
          <w:rFonts w:ascii="Aptos" w:hAnsi="Aptos"/>
          <w:color w:val="272727"/>
          <w:sz w:val="22"/>
        </w:rPr>
        <w:t>To the maximum extent permitted by law, ControlSmith Tools's liability is limited to a refund of the purchase price. See REFUND_POLICY.docx.</w:t>
      </w:r>
    </w:p>
    <w:p>
      <w:pPr>
        <w:spacing w:before="100" w:after="100"/>
        <w:pBdr>
          <w:top w:val="single" w:sz="6" w:space="4" w:color="EBE6DD"/>
        </w:pBdr>
      </w:pPr>
    </w:p>
    <w:p>
      <w:pPr>
        <w:widowControl/>
      </w:pPr>
      <w:r>
        <w:rPr>
          <w:rFonts w:ascii="Aptos" w:hAnsi="Aptos"/>
          <w:i/>
          <w:color w:val="272727"/>
          <w:sz w:val="22"/>
        </w:rPr>
        <w:t>Last updated: 2025</w:t>
      </w:r>
    </w:p>
    <w:p>
      <w:pPr>
        <w:spacing w:before="100" w:after="100"/>
        <w:pBdr>
          <w:top w:val="single" w:sz="6" w:space="4" w:color="EBE6DD"/>
        </w:pBdr>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7200"/>
      <w:gridCol w:w="2160"/>
    </w:tblGrid>
    <w:tr>
      <w:tc>
        <w:tcPr>
          <w:tcW w:type="dxa" w:w="7200"/>
          <w:tcMar>
            <w:top w:w="40" w:type="dxa"/>
            <w:start w:w="0" w:type="dxa"/>
            <w:bottom w:w="0" w:type="dxa"/>
            <w:end w:w="0" w:type="dxa"/>
          </w:tcMar>
          <w:vAlign w:val="center"/>
        </w:tcPr>
        <w:p>
          <w:pPr>
            <w:spacing w:before="0" w:after="0"/>
          </w:pPr>
          <w:r>
            <w:rPr>
              <w:rFonts w:ascii="Consolas" w:hAnsi="Consolas"/>
              <w:color w:val="5F5F5F"/>
              <w:sz w:val="14"/>
            </w:rPr>
            <w:t>CONTROLSMITHTOOLS.COM  •  SUPPORT@CONTROLSMITHTOOLS.COM</w:t>
          </w:r>
        </w:p>
      </w:tc>
      <w:tc>
        <w:tcPr>
          <w:tcW w:type="dxa" w:w="2160"/>
          <w:tcMar>
            <w:top w:w="40" w:type="dxa"/>
            <w:start w:w="0" w:type="dxa"/>
            <w:bottom w:w="0" w:type="dxa"/>
            <w:end w:w="0" w:type="dxa"/>
          </w:tcMar>
          <w:vAlign w:val="center"/>
        </w:tcPr>
        <w:p>
          <w:pPr>
            <w:spacing w:before="0" w:after="0"/>
            <w:jc w:val="right"/>
          </w:pPr>
          <w:r>
            <w:rPr>
              <w:rFonts w:ascii="Consolas" w:hAnsi="Consolas"/>
              <w:color w:val="5F5F5F"/>
              <w:sz w:val="14"/>
            </w:rPr>
            <w:t xml:space="preserve">PAGE </w:t>
          </w:r>
          <w:r>
            <w:rPr>
              <w:rFonts w:ascii="Aptos" w:hAnsi="Aptos"/>
              <w:color w:val="5F5F5F"/>
              <w:sz w:val="17"/>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Display" w:hAnsi="Aptos Display"/>
        <w:b/>
        <w:color w:val="272727"/>
        <w:sz w:val="17"/>
      </w:rPr>
      <w:t>ControlSmith Tools</w:t>
    </w:r>
    <w:r>
      <w:rPr>
        <w:rFonts w:ascii="Consolas" w:hAnsi="Consolas"/>
        <w:color w:val="5F5F5F"/>
        <w:sz w:val="15"/>
      </w:rPr>
      <w:t xml:space="preserve">   /   SQL Audit Snippet Library - Free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pPr>
        <w:tabs>
          <w:tab w:val="num" w:pos="540"/>
        </w:tabs>
        <w:ind w:left="540" w:hanging="270"/>
        <w:spacing w:after="80" w:line="300" w:lineRule="auto"/>
      </w:pPr>
      <w:rPr>
        <w:rFonts w:ascii="Aptos" w:hAnsi="Aptos"/>
        <w:color w:val="FF751F"/>
      </w:rPr>
    </w:lvl>
    <w:lvl w:ilvl="1">
      <w:start w:val="1"/>
      <w:numFmt w:val="bullet"/>
      <w:lvlText w:val="–"/>
      <w:suff w:val="tab"/>
      <w:pPr>
        <w:tabs>
          <w:tab w:val="num" w:pos="900"/>
        </w:tabs>
        <w:ind w:left="900" w:hanging="270"/>
        <w:spacing w:after="80" w:line="300" w:lineRule="auto"/>
      </w:pPr>
      <w:rPr>
        <w:rFonts w:ascii="Aptos" w:hAnsi="Aptos"/>
        <w:color w:val="FF751F"/>
      </w:rPr>
    </w:lvl>
    <w:lvl w:ilvl="2">
      <w:start w:val="1"/>
      <w:numFmt w:val="bullet"/>
      <w:lvlText w:val="◦"/>
      <w:suff w:val="tab"/>
      <w:pPr>
        <w:tabs>
          <w:tab w:val="num" w:pos="1260"/>
        </w:tabs>
        <w:ind w:left="1260" w:hanging="270"/>
        <w:spacing w:after="80" w:line="300" w:lineRule="auto"/>
      </w:pPr>
      <w:rPr>
        <w:rFonts w:ascii="Aptos" w:hAnsi="Aptos"/>
        <w:color w:val="FF751F"/>
      </w:rPr>
    </w:lvl>
    <w:lvl w:ilvl="3">
      <w:start w:val="1"/>
      <w:numFmt w:val="bullet"/>
      <w:lvlText w:val="▪"/>
      <w:suff w:val="tab"/>
      <w:pPr>
        <w:tabs>
          <w:tab w:val="num" w:pos="1620"/>
        </w:tabs>
        <w:ind w:left="1620" w:hanging="270"/>
        <w:spacing w:after="80" w:line="300" w:lineRule="auto"/>
      </w:pPr>
      <w:rPr>
        <w:rFonts w:ascii="Aptos" w:hAnsi="Aptos"/>
        <w:color w:val="FF751F"/>
      </w:rPr>
    </w:lvl>
  </w:abstractNum>
  <w:num w:numId="10">
    <w:abstractNumId w:val="9"/>
  </w:num>
  <w:abstractNum w:abstractNumId="10">
    <w:multiLevelType w:val="multilevel"/>
    <w:lvl w:ilvl="0">
      <w:start w:val="1"/>
      <w:numFmt w:val="bullet"/>
      <w:lvlText w:val="•"/>
      <w:suff w:val="tab"/>
      <w:pPr>
        <w:tabs>
          <w:tab w:val="num" w:pos="540"/>
        </w:tabs>
        <w:ind w:left="540" w:hanging="270"/>
        <w:spacing w:after="80" w:line="300" w:lineRule="auto"/>
      </w:pPr>
      <w:rPr>
        <w:rFonts w:ascii="Aptos" w:hAnsi="Aptos"/>
        <w:color w:val="FF751F"/>
      </w:rPr>
    </w:lvl>
    <w:lvl w:ilvl="1">
      <w:start w:val="1"/>
      <w:numFmt w:val="bullet"/>
      <w:lvlText w:val="–"/>
      <w:suff w:val="tab"/>
      <w:pPr>
        <w:tabs>
          <w:tab w:val="num" w:pos="900"/>
        </w:tabs>
        <w:ind w:left="900" w:hanging="270"/>
        <w:spacing w:after="80" w:line="300" w:lineRule="auto"/>
      </w:pPr>
      <w:rPr>
        <w:rFonts w:ascii="Aptos" w:hAnsi="Aptos"/>
        <w:color w:val="FF751F"/>
      </w:rPr>
    </w:lvl>
    <w:lvl w:ilvl="2">
      <w:start w:val="1"/>
      <w:numFmt w:val="bullet"/>
      <w:lvlText w:val="◦"/>
      <w:suff w:val="tab"/>
      <w:pPr>
        <w:tabs>
          <w:tab w:val="num" w:pos="1260"/>
        </w:tabs>
        <w:ind w:left="1260" w:hanging="270"/>
        <w:spacing w:after="80" w:line="300" w:lineRule="auto"/>
      </w:pPr>
      <w:rPr>
        <w:rFonts w:ascii="Aptos" w:hAnsi="Aptos"/>
        <w:color w:val="FF751F"/>
      </w:rPr>
    </w:lvl>
    <w:lvl w:ilvl="3">
      <w:start w:val="1"/>
      <w:numFmt w:val="bullet"/>
      <w:lvlText w:val="▪"/>
      <w:suff w:val="tab"/>
      <w:pPr>
        <w:tabs>
          <w:tab w:val="num" w:pos="1620"/>
        </w:tabs>
        <w:ind w:left="1620" w:hanging="270"/>
        <w:spacing w:after="80" w:line="300" w:lineRule="auto"/>
      </w:pPr>
      <w:rPr>
        <w:rFonts w:ascii="Aptos" w:hAnsi="Aptos"/>
        <w:color w:val="FF751F"/>
      </w:rPr>
    </w:lvl>
  </w:abstractNum>
  <w:num w:numId="11">
    <w:abstractNumId w:val="10"/>
  </w:num>
  <w:abstractNum w:abstractNumId="11">
    <w:multiLevelType w:val="multilevel"/>
    <w:lvl w:ilvl="0">
      <w:start w:val="1"/>
      <w:numFmt w:val="bullet"/>
      <w:lvlText w:val="•"/>
      <w:suff w:val="tab"/>
      <w:pPr>
        <w:tabs>
          <w:tab w:val="num" w:pos="540"/>
        </w:tabs>
        <w:ind w:left="540" w:hanging="270"/>
        <w:spacing w:after="80" w:line="300" w:lineRule="auto"/>
      </w:pPr>
      <w:rPr>
        <w:rFonts w:ascii="Aptos" w:hAnsi="Aptos"/>
        <w:color w:val="FF751F"/>
      </w:rPr>
    </w:lvl>
    <w:lvl w:ilvl="1">
      <w:start w:val="1"/>
      <w:numFmt w:val="bullet"/>
      <w:lvlText w:val="–"/>
      <w:suff w:val="tab"/>
      <w:pPr>
        <w:tabs>
          <w:tab w:val="num" w:pos="900"/>
        </w:tabs>
        <w:ind w:left="900" w:hanging="270"/>
        <w:spacing w:after="80" w:line="300" w:lineRule="auto"/>
      </w:pPr>
      <w:rPr>
        <w:rFonts w:ascii="Aptos" w:hAnsi="Aptos"/>
        <w:color w:val="FF751F"/>
      </w:rPr>
    </w:lvl>
    <w:lvl w:ilvl="2">
      <w:start w:val="1"/>
      <w:numFmt w:val="bullet"/>
      <w:lvlText w:val="◦"/>
      <w:suff w:val="tab"/>
      <w:pPr>
        <w:tabs>
          <w:tab w:val="num" w:pos="1260"/>
        </w:tabs>
        <w:ind w:left="1260" w:hanging="270"/>
        <w:spacing w:after="80" w:line="300" w:lineRule="auto"/>
      </w:pPr>
      <w:rPr>
        <w:rFonts w:ascii="Aptos" w:hAnsi="Aptos"/>
        <w:color w:val="FF751F"/>
      </w:rPr>
    </w:lvl>
    <w:lvl w:ilvl="3">
      <w:start w:val="1"/>
      <w:numFmt w:val="bullet"/>
      <w:lvlText w:val="▪"/>
      <w:suff w:val="tab"/>
      <w:pPr>
        <w:tabs>
          <w:tab w:val="num" w:pos="1620"/>
        </w:tabs>
        <w:ind w:left="1620" w:hanging="270"/>
        <w:spacing w:after="80" w:line="300" w:lineRule="auto"/>
      </w:pPr>
      <w:rPr>
        <w:rFonts w:ascii="Aptos" w:hAnsi="Aptos"/>
        <w:color w:val="FF751F"/>
      </w:rPr>
    </w:lvl>
  </w:abstractNum>
  <w:num w:numId="12">
    <w:abstractNumId w:val="11"/>
  </w:num>
  <w:abstractNum w:abstractNumId="12">
    <w:multiLevelType w:val="multilevel"/>
    <w:lvl w:ilvl="0">
      <w:start w:val="1"/>
      <w:numFmt w:val="bullet"/>
      <w:lvlText w:val="•"/>
      <w:suff w:val="tab"/>
      <w:pPr>
        <w:tabs>
          <w:tab w:val="num" w:pos="540"/>
        </w:tabs>
        <w:ind w:left="540" w:hanging="270"/>
        <w:spacing w:after="80" w:line="300" w:lineRule="auto"/>
      </w:pPr>
      <w:rPr>
        <w:rFonts w:ascii="Aptos" w:hAnsi="Aptos"/>
        <w:color w:val="FF751F"/>
      </w:rPr>
    </w:lvl>
    <w:lvl w:ilvl="1">
      <w:start w:val="1"/>
      <w:numFmt w:val="bullet"/>
      <w:lvlText w:val="–"/>
      <w:suff w:val="tab"/>
      <w:pPr>
        <w:tabs>
          <w:tab w:val="num" w:pos="900"/>
        </w:tabs>
        <w:ind w:left="900" w:hanging="270"/>
        <w:spacing w:after="80" w:line="300" w:lineRule="auto"/>
      </w:pPr>
      <w:rPr>
        <w:rFonts w:ascii="Aptos" w:hAnsi="Aptos"/>
        <w:color w:val="FF751F"/>
      </w:rPr>
    </w:lvl>
    <w:lvl w:ilvl="2">
      <w:start w:val="1"/>
      <w:numFmt w:val="bullet"/>
      <w:lvlText w:val="◦"/>
      <w:suff w:val="tab"/>
      <w:pPr>
        <w:tabs>
          <w:tab w:val="num" w:pos="1260"/>
        </w:tabs>
        <w:ind w:left="1260" w:hanging="270"/>
        <w:spacing w:after="80" w:line="300" w:lineRule="auto"/>
      </w:pPr>
      <w:rPr>
        <w:rFonts w:ascii="Aptos" w:hAnsi="Aptos"/>
        <w:color w:val="FF751F"/>
      </w:rPr>
    </w:lvl>
    <w:lvl w:ilvl="3">
      <w:start w:val="1"/>
      <w:numFmt w:val="bullet"/>
      <w:lvlText w:val="▪"/>
      <w:suff w:val="tab"/>
      <w:pPr>
        <w:tabs>
          <w:tab w:val="num" w:pos="1620"/>
        </w:tabs>
        <w:ind w:left="1620" w:hanging="270"/>
        <w:spacing w:after="80" w:line="300" w:lineRule="auto"/>
      </w:pPr>
      <w:rPr>
        <w:rFonts w:ascii="Aptos" w:hAnsi="Aptos"/>
        <w:color w:val="FF751F"/>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2727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Aptos Display" w:hAnsi="Aptos Display"/>
      <w:b/>
      <w:bCs/>
      <w:color w:val="272727"/>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Aptos Display" w:hAnsi="Aptos Display"/>
      <w:b/>
      <w:bCs/>
      <w:color w:val="D95F13"/>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Aptos Display" w:hAnsi="Aptos Display"/>
      <w:b/>
      <w:bCs/>
      <w:color w:val="272727"/>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Aptos" w:hAnsi="Aptos"/>
      <w:b/>
      <w:bCs/>
      <w:i/>
      <w:iCs/>
      <w:color w:val="272727"/>
      <w:sz w:val="22"/>
    </w:rPr>
  </w:style>
  <w:style w:type="paragraph" w:styleId="Heading5">
    <w:name w:val="heading 5"/>
    <w:basedOn w:val="Normal"/>
    <w:next w:val="Normal"/>
    <w:link w:val="Heading5Char"/>
    <w:uiPriority w:val="9"/>
    <w:semiHidden/>
    <w:unhideWhenUsed/>
    <w:qFormat/>
    <w:rsid w:val="00FC693F"/>
    <w:pPr>
      <w:keepNext/>
      <w:keepLines/>
      <w:widowControl/>
      <w:spacing w:before="120" w:after="60"/>
      <w:outlineLvl w:val="4"/>
    </w:pPr>
    <w:rPr>
      <w:rFonts w:asciiTheme="majorHAnsi" w:eastAsiaTheme="majorEastAsia" w:hAnsiTheme="majorHAnsi" w:cstheme="majorBidi" w:ascii="Aptos" w:hAnsi="Aptos"/>
      <w:b/>
      <w:color w:val="5F5F5F"/>
      <w:sz w:val="21"/>
    </w:rPr>
  </w:style>
  <w:style w:type="paragraph" w:styleId="Heading6">
    <w:name w:val="heading 6"/>
    <w:basedOn w:val="Normal"/>
    <w:next w:val="Normal"/>
    <w:link w:val="Heading6Char"/>
    <w:uiPriority w:val="9"/>
    <w:semiHidden/>
    <w:unhideWhenUsed/>
    <w:qFormat/>
    <w:rsid w:val="00FC693F"/>
    <w:pPr>
      <w:keepNext/>
      <w:keepLines/>
      <w:widowControl/>
      <w:spacing w:before="120" w:after="60"/>
      <w:outlineLvl w:val="5"/>
    </w:pPr>
    <w:rPr>
      <w:rFonts w:asciiTheme="majorHAnsi" w:eastAsiaTheme="majorEastAsia" w:hAnsiTheme="majorHAnsi" w:cstheme="majorBidi" w:ascii="Aptos" w:hAnsi="Aptos"/>
      <w:b/>
      <w:i/>
      <w:iCs/>
      <w:color w:val="5F5F5F"/>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27272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Aptos" w:hAnsi="Aptos"/>
      <w:b w:val="0"/>
      <w:i/>
      <w:iCs/>
      <w:color w:val="5F5F5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0" w:after="0" w:line="252" w:lineRule="auto"/>
      <w:ind w:left="202" w:right="202"/>
    </w:pPr>
    <w:rPr>
      <w:rFonts w:ascii="Consolas" w:hAnsi="Consolas"/>
      <w:color w:val="FFFFFF"/>
      <w:sz w:val="16"/>
    </w:rPr>
  </w:style>
  <w:style w:type="paragraph" w:customStyle="1" w:styleId="Callout">
    <w:name w:val="Callout"/>
    <w:pPr>
      <w:spacing w:before="120" w:after="160" w:line="288" w:lineRule="auto"/>
      <w:ind w:left="259" w:right="173"/>
    </w:pPr>
    <w:rPr>
      <w:rFonts w:ascii="Aptos" w:hAnsi="Aptos"/>
      <w:color w:val="272727"/>
      <w:sz w:val="21"/>
    </w:rPr>
  </w:style>
  <w:style w:type="paragraph" w:customStyle="1" w:styleId="Checklist">
    <w:name w:val="Checklist"/>
    <w:pPr>
      <w:spacing w:after="80" w:line="300" w:lineRule="auto"/>
      <w:ind w:left="547" w:hanging="288"/>
    </w:pPr>
    <w:rPr>
      <w:rFonts w:ascii="Aptos" w:hAnsi="Aptos"/>
      <w:color w:val="27272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ntrolsmitht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Licence and Purchase Terms</dc:title>
  <dc:subject>Branded Word documentation for SQL Audit Snippet Library - Free Sample</dc:subject>
  <dc:creator>ControlSmith Tools</dc:creator>
  <cp:keywords/>
  <dc:description>Generated from the source document(s).</dc:description>
  <cp:lastModifiedBy>ControlSmith Tools</cp:lastModifiedBy>
  <cp:revision>1</cp:revision>
  <dcterms:created xsi:type="dcterms:W3CDTF">2013-12-23T23:15:00Z</dcterms:created>
  <dcterms:modified xsi:type="dcterms:W3CDTF">2013-12-23T23:15:00Z</dcterms:modified>
  <cp:category/>
</cp:coreProperties>
</file>