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23E8F" w14:textId="249FEFF4" w:rsidR="00925BB6" w:rsidRDefault="00244318" w:rsidP="00244318">
      <w:r>
        <w:rPr>
          <w:noProof/>
        </w:rPr>
        <w:drawing>
          <wp:inline distT="0" distB="0" distL="0" distR="0" wp14:anchorId="3D184D73" wp14:editId="0EE6CBF3">
            <wp:extent cx="638175" cy="767715"/>
            <wp:effectExtent l="38100" t="38100" r="66675" b="89535"/>
            <wp:docPr id="1073741826" name="Picture 1073741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669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</w:p>
    <w:p w14:paraId="6276A2C7" w14:textId="77777777" w:rsidR="00925BB6" w:rsidRDefault="00925BB6" w:rsidP="00925BB6">
      <w:pPr>
        <w:pStyle w:val="Title"/>
        <w:jc w:val="center"/>
      </w:pPr>
      <w:bookmarkStart w:id="0" w:name="_Toc452019020"/>
      <w:bookmarkStart w:id="1" w:name="_Toc453241961"/>
      <w:r>
        <w:t xml:space="preserve">IT Risk </w:t>
      </w:r>
      <w:r w:rsidRPr="00925BB6">
        <w:t>Assessment</w:t>
      </w:r>
      <w:r>
        <w:t xml:space="preserve"> Procedure</w:t>
      </w:r>
      <w:bookmarkEnd w:id="0"/>
      <w:bookmarkEnd w:id="1"/>
    </w:p>
    <w:p w14:paraId="7C4F9A49" w14:textId="77777777" w:rsidR="00925BB6" w:rsidRPr="00C05E56" w:rsidRDefault="00925BB6" w:rsidP="009333B8">
      <w:pPr>
        <w:pStyle w:val="Heading1"/>
        <w:numPr>
          <w:ilvl w:val="0"/>
          <w:numId w:val="38"/>
        </w:numPr>
        <w:ind w:left="360" w:hanging="360"/>
      </w:pPr>
      <w:r w:rsidRPr="00C05E56">
        <w:t>Overview/Purpose</w:t>
      </w:r>
    </w:p>
    <w:p w14:paraId="14DEE0B4" w14:textId="5B70BCFE" w:rsidR="00925BB6" w:rsidRPr="00925BB6" w:rsidRDefault="00925BB6" w:rsidP="00925BB6">
      <w:r w:rsidRPr="00C05E56">
        <w:t xml:space="preserve">In accordance with </w:t>
      </w:r>
      <w:r>
        <w:t xml:space="preserve">the </w:t>
      </w:r>
      <w:r w:rsidRPr="003C4EDE">
        <w:rPr>
          <w:i/>
        </w:rPr>
        <w:t>IT Risk Management Policy</w:t>
      </w:r>
      <w:r>
        <w:t>,</w:t>
      </w:r>
      <w:r w:rsidRPr="00C05E56">
        <w:t xml:space="preserve"> the following procedure outlines the Risk Assessment (RA) process which will be followed</w:t>
      </w:r>
      <w:r>
        <w:t xml:space="preserve"> by </w:t>
      </w:r>
      <w:r w:rsidRPr="007765A9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7765A9">
        <w:rPr>
          <w:color w:val="FF0000"/>
        </w:rPr>
        <w:t>&gt;</w:t>
      </w:r>
      <w:r w:rsidRPr="00C05E56">
        <w:t>.</w:t>
      </w:r>
    </w:p>
    <w:p w14:paraId="455F085F" w14:textId="77777777" w:rsidR="00925BB6" w:rsidRDefault="00925BB6" w:rsidP="0031117A">
      <w:pPr>
        <w:pStyle w:val="Heading"/>
      </w:pPr>
      <w:r>
        <w:t>Scope</w:t>
      </w:r>
    </w:p>
    <w:p w14:paraId="69D0FA14" w14:textId="59145469" w:rsidR="00925BB6" w:rsidRDefault="00925BB6" w:rsidP="00925BB6">
      <w:r w:rsidRPr="007765A9">
        <w:t xml:space="preserve">Risk assessments </w:t>
      </w:r>
      <w:r>
        <w:t xml:space="preserve">(RAs) </w:t>
      </w:r>
      <w:r w:rsidRPr="007765A9">
        <w:t xml:space="preserve">can be conducted </w:t>
      </w:r>
      <w:r>
        <w:t>by</w:t>
      </w:r>
      <w:r w:rsidRPr="007765A9">
        <w:t xml:space="preserve"> any entity within </w:t>
      </w:r>
      <w:r w:rsidRPr="007765A9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7765A9">
        <w:rPr>
          <w:color w:val="FF0000"/>
        </w:rPr>
        <w:t xml:space="preserve">&gt; </w:t>
      </w:r>
      <w:r w:rsidRPr="007765A9">
        <w:t xml:space="preserve">or any outside entity that has signed a Third Party Agreement with </w:t>
      </w:r>
      <w:r w:rsidRPr="007765A9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7765A9">
        <w:rPr>
          <w:color w:val="FF0000"/>
        </w:rPr>
        <w:t>&gt;</w:t>
      </w:r>
      <w:r w:rsidRPr="007765A9">
        <w:t xml:space="preserve">. </w:t>
      </w:r>
      <w:r>
        <w:t xml:space="preserve"> </w:t>
      </w:r>
      <w:r w:rsidRPr="007765A9">
        <w:t xml:space="preserve">RAs can be conducted on any information system, </w:t>
      </w:r>
      <w:r>
        <w:t>including</w:t>
      </w:r>
      <w:r w:rsidRPr="007765A9">
        <w:t xml:space="preserve"> applications, servers, and networks, and any process or procedure by which these systems are administered and/or maintained.</w:t>
      </w:r>
      <w:r>
        <w:t xml:space="preserve"> </w:t>
      </w:r>
    </w:p>
    <w:p w14:paraId="1116BBBE" w14:textId="77777777" w:rsidR="00925BB6" w:rsidRDefault="00925BB6" w:rsidP="0031117A">
      <w:pPr>
        <w:pStyle w:val="Heading"/>
      </w:pPr>
      <w:r>
        <w:t>Procedure</w:t>
      </w:r>
    </w:p>
    <w:p w14:paraId="302D1FC5" w14:textId="74FF2596" w:rsidR="00925BB6" w:rsidRDefault="00925BB6" w:rsidP="001909C2">
      <w:pPr>
        <w:pStyle w:val="Heading2"/>
        <w:ind w:left="1080" w:hanging="720"/>
      </w:pPr>
      <w:r w:rsidRPr="00C05E56">
        <w:rPr>
          <w:rFonts w:eastAsia="Times New Roman"/>
        </w:rPr>
        <w:t>Risk Assessment Sequence</w:t>
      </w:r>
    </w:p>
    <w:p w14:paraId="4E28A7CD" w14:textId="77777777" w:rsidR="00925BB6" w:rsidRPr="00C05E56" w:rsidRDefault="00925BB6" w:rsidP="001909C2">
      <w:pPr>
        <w:ind w:left="360"/>
      </w:pPr>
      <w:r>
        <w:t xml:space="preserve">The </w:t>
      </w:r>
      <w:r w:rsidRPr="00C05E56">
        <w:t>RA process will be conducted using asset, threat, vulnerability model, in the following sequence:</w:t>
      </w:r>
      <w:r w:rsidRPr="00C05E56">
        <w:br/>
        <w:t xml:space="preserve">           </w:t>
      </w:r>
      <w:proofErr w:type="gramStart"/>
      <w:r w:rsidRPr="00C05E56">
        <w:t>Asset  →</w:t>
      </w:r>
      <w:proofErr w:type="gramEnd"/>
      <w:r w:rsidRPr="00C05E56">
        <w:t xml:space="preserve">  Threat  →  Vulnerability  =  Risk</w:t>
      </w:r>
    </w:p>
    <w:p w14:paraId="08BA3825" w14:textId="77777777" w:rsidR="00925BB6" w:rsidRPr="00825392" w:rsidRDefault="00925BB6" w:rsidP="001909C2">
      <w:pPr>
        <w:ind w:left="360"/>
      </w:pPr>
      <w:r w:rsidRPr="00C05E56">
        <w:t>A mitigation plan will be developed for any risks with a score beyond a specified threshold.  Risk Assessment can be conducted by using</w:t>
      </w:r>
      <w:r>
        <w:t xml:space="preserve"> the</w:t>
      </w:r>
      <w:r w:rsidRPr="00C05E56">
        <w:t xml:space="preserve"> </w:t>
      </w:r>
      <w:r w:rsidRPr="003C4EDE">
        <w:rPr>
          <w:i/>
        </w:rPr>
        <w:t>Risk Register Form</w:t>
      </w:r>
      <w:r w:rsidRPr="00C05E56">
        <w:t>.</w:t>
      </w:r>
    </w:p>
    <w:p w14:paraId="26CD65B7" w14:textId="77777777" w:rsidR="00411704" w:rsidRPr="00411704" w:rsidRDefault="00411704" w:rsidP="00411704">
      <w:pPr>
        <w:pStyle w:val="ListParagraph"/>
        <w:keepNext/>
        <w:keepLines/>
        <w:numPr>
          <w:ilvl w:val="0"/>
          <w:numId w:val="37"/>
        </w:numPr>
        <w:spacing w:before="40" w:after="0"/>
        <w:ind w:left="1080" w:hanging="720"/>
        <w:contextualSpacing w:val="0"/>
        <w:outlineLvl w:val="1"/>
        <w:rPr>
          <w:rFonts w:asciiTheme="majorHAnsi" w:eastAsia="Times New Roman" w:hAnsiTheme="majorHAnsi" w:cstheme="majorBidi"/>
          <w:b/>
          <w:bCs/>
          <w:vanish/>
          <w:color w:val="629DD1" w:themeColor="accent1"/>
          <w:sz w:val="26"/>
          <w:szCs w:val="26"/>
        </w:rPr>
      </w:pPr>
    </w:p>
    <w:p w14:paraId="667B72E9" w14:textId="77777777" w:rsidR="00411704" w:rsidRPr="00411704" w:rsidRDefault="00411704" w:rsidP="00411704">
      <w:pPr>
        <w:pStyle w:val="ListParagraph"/>
        <w:keepNext/>
        <w:keepLines/>
        <w:numPr>
          <w:ilvl w:val="0"/>
          <w:numId w:val="37"/>
        </w:numPr>
        <w:spacing w:before="40" w:after="0"/>
        <w:ind w:left="1080" w:hanging="720"/>
        <w:contextualSpacing w:val="0"/>
        <w:outlineLvl w:val="1"/>
        <w:rPr>
          <w:rFonts w:asciiTheme="majorHAnsi" w:eastAsia="Times New Roman" w:hAnsiTheme="majorHAnsi" w:cstheme="majorBidi"/>
          <w:b/>
          <w:bCs/>
          <w:vanish/>
          <w:color w:val="629DD1" w:themeColor="accent1"/>
          <w:sz w:val="26"/>
          <w:szCs w:val="26"/>
        </w:rPr>
      </w:pPr>
    </w:p>
    <w:p w14:paraId="3E3A3398" w14:textId="77777777" w:rsidR="00411704" w:rsidRPr="00411704" w:rsidRDefault="00411704" w:rsidP="00411704">
      <w:pPr>
        <w:pStyle w:val="ListParagraph"/>
        <w:keepNext/>
        <w:keepLines/>
        <w:numPr>
          <w:ilvl w:val="0"/>
          <w:numId w:val="37"/>
        </w:numPr>
        <w:spacing w:before="40" w:after="0"/>
        <w:ind w:left="1080" w:hanging="720"/>
        <w:contextualSpacing w:val="0"/>
        <w:outlineLvl w:val="1"/>
        <w:rPr>
          <w:rFonts w:asciiTheme="majorHAnsi" w:eastAsia="Times New Roman" w:hAnsiTheme="majorHAnsi" w:cstheme="majorBidi"/>
          <w:b/>
          <w:bCs/>
          <w:vanish/>
          <w:color w:val="629DD1" w:themeColor="accent1"/>
          <w:sz w:val="26"/>
          <w:szCs w:val="26"/>
        </w:rPr>
      </w:pPr>
    </w:p>
    <w:p w14:paraId="2042A481" w14:textId="77777777" w:rsidR="00411704" w:rsidRPr="00411704" w:rsidRDefault="00411704" w:rsidP="00411704">
      <w:pPr>
        <w:pStyle w:val="ListParagraph"/>
        <w:keepNext/>
        <w:keepLines/>
        <w:numPr>
          <w:ilvl w:val="1"/>
          <w:numId w:val="37"/>
        </w:numPr>
        <w:spacing w:before="40" w:after="0"/>
        <w:contextualSpacing w:val="0"/>
        <w:outlineLvl w:val="1"/>
        <w:rPr>
          <w:rFonts w:asciiTheme="majorHAnsi" w:eastAsia="Times New Roman" w:hAnsiTheme="majorHAnsi" w:cstheme="majorBidi"/>
          <w:b/>
          <w:bCs/>
          <w:vanish/>
          <w:color w:val="629DD1" w:themeColor="accent1"/>
          <w:sz w:val="26"/>
          <w:szCs w:val="26"/>
        </w:rPr>
      </w:pPr>
    </w:p>
    <w:p w14:paraId="113F29DC" w14:textId="0BB500FA" w:rsidR="001A2C69" w:rsidRDefault="001A2C69" w:rsidP="00411704">
      <w:pPr>
        <w:pStyle w:val="Heading2"/>
        <w:numPr>
          <w:ilvl w:val="1"/>
          <w:numId w:val="37"/>
        </w:numPr>
        <w:spacing w:before="40" w:line="259" w:lineRule="auto"/>
        <w:ind w:left="1080" w:hanging="702"/>
      </w:pPr>
      <w:r w:rsidRPr="00C05E56">
        <w:rPr>
          <w:rFonts w:eastAsia="Times New Roman"/>
        </w:rPr>
        <w:t xml:space="preserve">Asset </w:t>
      </w:r>
      <w:r w:rsidRPr="001620C7">
        <w:t>Identification</w:t>
      </w:r>
    </w:p>
    <w:p w14:paraId="3F35AA79" w14:textId="77777777" w:rsidR="001A2C69" w:rsidRDefault="001A2C69" w:rsidP="001A2C69">
      <w:pPr>
        <w:ind w:left="360"/>
        <w:rPr>
          <w:rFonts w:ascii="Arial" w:hAnsi="Arial"/>
          <w:sz w:val="21"/>
          <w:szCs w:val="21"/>
        </w:rPr>
      </w:pPr>
      <w:r w:rsidRPr="00C05E56">
        <w:t xml:space="preserve">The data asset inventory maintained under </w:t>
      </w:r>
      <w:r>
        <w:t xml:space="preserve">the </w:t>
      </w:r>
      <w:r w:rsidRPr="003C4EDE">
        <w:rPr>
          <w:i/>
        </w:rPr>
        <w:t>Data Classification Policy</w:t>
      </w:r>
      <w:r w:rsidRPr="00C05E56">
        <w:t xml:space="preserve"> will be used for the RA.  Similar assets may be aggregated as appropriate for the RA process.</w:t>
      </w:r>
    </w:p>
    <w:p w14:paraId="08D9BDBA" w14:textId="77777777" w:rsidR="001A2C69" w:rsidRPr="00411704" w:rsidRDefault="001A2C69" w:rsidP="00411704">
      <w:pPr>
        <w:pStyle w:val="Heading2"/>
        <w:numPr>
          <w:ilvl w:val="1"/>
          <w:numId w:val="186"/>
        </w:numPr>
        <w:ind w:left="1080" w:hanging="756"/>
        <w:rPr>
          <w:rFonts w:eastAsia="Times New Roman"/>
        </w:rPr>
      </w:pPr>
      <w:r w:rsidRPr="00411704">
        <w:rPr>
          <w:rFonts w:eastAsia="Times New Roman"/>
        </w:rPr>
        <w:t>Threat Identification</w:t>
      </w:r>
    </w:p>
    <w:p w14:paraId="24502CEA" w14:textId="77777777" w:rsidR="001A2C69" w:rsidRDefault="001A2C69" w:rsidP="001A2C69">
      <w:pPr>
        <w:ind w:left="360"/>
      </w:pPr>
      <w:r w:rsidRPr="003B3FFB">
        <w:t xml:space="preserve">Threats may include people, the systems they use, and conditions that could cause harm to an organization. Personnel at different levels of the organization will have different perspectives </w:t>
      </w:r>
      <w:r>
        <w:t>and can provide information about</w:t>
      </w:r>
      <w:r w:rsidRPr="003B3FFB">
        <w:t xml:space="preserve"> the risk </w:t>
      </w:r>
      <w:r>
        <w:t>which was n</w:t>
      </w:r>
      <w:r w:rsidRPr="003B3FFB">
        <w:t xml:space="preserve">ot previously considered. </w:t>
      </w:r>
      <w:r>
        <w:br/>
      </w:r>
      <w:r w:rsidRPr="00C05E56">
        <w:t>Some examples of threats include:</w:t>
      </w:r>
    </w:p>
    <w:p w14:paraId="32D7C428" w14:textId="77777777" w:rsidR="001A2C69" w:rsidRDefault="001A2C69" w:rsidP="009333B8">
      <w:pPr>
        <w:pStyle w:val="ListParagraph"/>
        <w:numPr>
          <w:ilvl w:val="0"/>
          <w:numId w:val="34"/>
        </w:numPr>
      </w:pPr>
      <w:r w:rsidRPr="00C05E56">
        <w:t>Accidental data corruption</w:t>
      </w:r>
    </w:p>
    <w:p w14:paraId="1A8D0062" w14:textId="77777777" w:rsidR="001A2C69" w:rsidRDefault="001A2C69" w:rsidP="009333B8">
      <w:pPr>
        <w:pStyle w:val="ListParagraph"/>
        <w:numPr>
          <w:ilvl w:val="0"/>
          <w:numId w:val="34"/>
        </w:numPr>
      </w:pPr>
      <w:r w:rsidRPr="00C05E56">
        <w:t>Denial of service attack</w:t>
      </w:r>
    </w:p>
    <w:p w14:paraId="2E547EE1" w14:textId="77777777" w:rsidR="001A2C69" w:rsidRDefault="001A2C69" w:rsidP="009333B8">
      <w:pPr>
        <w:pStyle w:val="ListParagraph"/>
        <w:numPr>
          <w:ilvl w:val="0"/>
          <w:numId w:val="34"/>
        </w:numPr>
      </w:pPr>
      <w:r w:rsidRPr="00C05E56">
        <w:lastRenderedPageBreak/>
        <w:t>Physical theft</w:t>
      </w:r>
    </w:p>
    <w:p w14:paraId="7A9437F4" w14:textId="7BF72478" w:rsidR="001A2C69" w:rsidRDefault="001A2C69" w:rsidP="001A2C69">
      <w:r w:rsidRPr="000B7E2B">
        <w:t>Threats should be related to the applicable assets and vulnerabilities.</w:t>
      </w:r>
    </w:p>
    <w:p w14:paraId="23339104" w14:textId="77777777" w:rsidR="001A2C69" w:rsidRPr="001620C7" w:rsidRDefault="001A2C69" w:rsidP="001A2C69">
      <w:pPr>
        <w:pStyle w:val="Heading2"/>
        <w:ind w:left="1080" w:hanging="720"/>
      </w:pPr>
      <w:r w:rsidRPr="00925BB6">
        <w:rPr>
          <w:rFonts w:eastAsia="Times New Roman"/>
        </w:rPr>
        <w:t>Vuln</w:t>
      </w:r>
      <w:bookmarkStart w:id="2" w:name="_GoBack"/>
      <w:bookmarkEnd w:id="2"/>
      <w:r w:rsidRPr="00925BB6">
        <w:rPr>
          <w:rFonts w:eastAsia="Times New Roman"/>
        </w:rPr>
        <w:t>erabilities</w:t>
      </w:r>
    </w:p>
    <w:p w14:paraId="0C4F0638" w14:textId="77777777" w:rsidR="001A2C69" w:rsidRDefault="001A2C69" w:rsidP="001A2C69">
      <w:pPr>
        <w:ind w:left="360"/>
      </w:pPr>
      <w:r w:rsidRPr="00755BDB">
        <w:t>A vulnerability is a weakness that can be exploited by a threat and may originate from</w:t>
      </w:r>
      <w:r w:rsidRPr="00755BDB">
        <w:rPr>
          <w:sz w:val="20"/>
          <w:szCs w:val="20"/>
        </w:rPr>
        <w:t xml:space="preserve"> technology, the organization, the environment, or a business process.</w:t>
      </w:r>
      <w:r>
        <w:br/>
      </w:r>
      <w:r w:rsidRPr="003B3FFB">
        <w:t>Examples of vulnerabilities include:</w:t>
      </w:r>
    </w:p>
    <w:p w14:paraId="4EAE5BEC" w14:textId="77777777" w:rsidR="001A2C69" w:rsidRPr="003B3FFB" w:rsidRDefault="001A2C69" w:rsidP="009333B8">
      <w:pPr>
        <w:pStyle w:val="ListParagraph"/>
        <w:numPr>
          <w:ilvl w:val="0"/>
          <w:numId w:val="183"/>
        </w:numPr>
      </w:pPr>
      <w:r w:rsidRPr="003B3FFB">
        <w:t>Backup restore failure</w:t>
      </w:r>
    </w:p>
    <w:p w14:paraId="120954D0" w14:textId="77777777" w:rsidR="001A2C69" w:rsidRDefault="001A2C69" w:rsidP="009333B8">
      <w:pPr>
        <w:pStyle w:val="ListParagraph"/>
        <w:numPr>
          <w:ilvl w:val="0"/>
          <w:numId w:val="183"/>
        </w:numPr>
      </w:pPr>
      <w:r w:rsidRPr="003B3FFB">
        <w:t>Firewall rule error</w:t>
      </w:r>
    </w:p>
    <w:p w14:paraId="0B076E81" w14:textId="77777777" w:rsidR="001A2C69" w:rsidRPr="003B3FFB" w:rsidRDefault="001A2C69" w:rsidP="009333B8">
      <w:pPr>
        <w:pStyle w:val="ListParagraph"/>
        <w:numPr>
          <w:ilvl w:val="0"/>
          <w:numId w:val="183"/>
        </w:numPr>
      </w:pPr>
      <w:r>
        <w:t>Not patched operating system</w:t>
      </w:r>
    </w:p>
    <w:p w14:paraId="37271485" w14:textId="77777777" w:rsidR="001A2C69" w:rsidRPr="003B3FFB" w:rsidRDefault="001A2C69" w:rsidP="009333B8">
      <w:pPr>
        <w:pStyle w:val="ListParagraph"/>
        <w:numPr>
          <w:ilvl w:val="0"/>
          <w:numId w:val="183"/>
        </w:numPr>
      </w:pPr>
      <w:r w:rsidRPr="003B3FFB">
        <w:t>Improper confidential waste disposal</w:t>
      </w:r>
      <w:r>
        <w:br/>
      </w:r>
    </w:p>
    <w:p w14:paraId="714AFAFF" w14:textId="77777777" w:rsidR="001A2C69" w:rsidRDefault="001A2C69" w:rsidP="001A2C69">
      <w:pPr>
        <w:ind w:left="360"/>
        <w:rPr>
          <w:rFonts w:cstheme="minorHAnsi"/>
        </w:rPr>
      </w:pPr>
      <w:r w:rsidRPr="00755BDB">
        <w:rPr>
          <w:rFonts w:cstheme="minorHAnsi"/>
        </w:rPr>
        <w:t>Each vulnerability should be related to the impacting threat(s)</w:t>
      </w:r>
      <w:r>
        <w:rPr>
          <w:rFonts w:cstheme="minorHAnsi"/>
        </w:rPr>
        <w:t xml:space="preserve"> and assets</w:t>
      </w:r>
      <w:r w:rsidRPr="00755BDB">
        <w:rPr>
          <w:rFonts w:cstheme="minorHAnsi"/>
        </w:rPr>
        <w:t>. Additionally, any controls that offer protection from a vulnerability should be noted.  The adequacy of the controls should be estimated for each vulnerability, and considered as part of the vulnerability score.  </w:t>
      </w:r>
    </w:p>
    <w:p w14:paraId="648BE9D1" w14:textId="77777777" w:rsidR="001A2C69" w:rsidRDefault="001A2C69" w:rsidP="001A2C69">
      <w:pPr>
        <w:pStyle w:val="Heading2"/>
        <w:ind w:left="1080" w:hanging="720"/>
        <w:rPr>
          <w:rFonts w:eastAsia="Times New Roman"/>
        </w:rPr>
      </w:pPr>
      <w:r>
        <w:rPr>
          <w:rFonts w:eastAsia="Times New Roman"/>
        </w:rPr>
        <w:t>Potential Outcome</w:t>
      </w:r>
    </w:p>
    <w:p w14:paraId="6695E764" w14:textId="77777777" w:rsidR="001A2C69" w:rsidRDefault="001A2C69" w:rsidP="001A2C69">
      <w:pPr>
        <w:ind w:left="360"/>
      </w:pPr>
      <w:r w:rsidRPr="00C05E56">
        <w:t xml:space="preserve">Once the threat list has been established, each entry should </w:t>
      </w:r>
      <w:r>
        <w:t>have possible outcome/risk.</w:t>
      </w:r>
      <w:r>
        <w:br/>
        <w:t>Then risk can be scored in the following categories:</w:t>
      </w:r>
    </w:p>
    <w:p w14:paraId="1FDAD9D2" w14:textId="77777777" w:rsidR="001A2C69" w:rsidRDefault="001A2C69" w:rsidP="009333B8">
      <w:pPr>
        <w:pStyle w:val="ListParagraph"/>
        <w:numPr>
          <w:ilvl w:val="0"/>
          <w:numId w:val="184"/>
        </w:numPr>
      </w:pPr>
      <w:r w:rsidRPr="000B7E2B">
        <w:rPr>
          <w:b/>
        </w:rPr>
        <w:t>Asset Value</w:t>
      </w:r>
      <w:r>
        <w:t xml:space="preserve"> – Low (0) to Critical (4)</w:t>
      </w:r>
    </w:p>
    <w:p w14:paraId="29E315BF" w14:textId="77777777" w:rsidR="001A2C69" w:rsidRDefault="001A2C69" w:rsidP="009333B8">
      <w:pPr>
        <w:pStyle w:val="ListParagraph"/>
        <w:numPr>
          <w:ilvl w:val="0"/>
          <w:numId w:val="184"/>
        </w:numPr>
      </w:pPr>
      <w:r w:rsidRPr="000B7E2B">
        <w:rPr>
          <w:b/>
        </w:rPr>
        <w:t>Likelihood of Threat</w:t>
      </w:r>
      <w:r>
        <w:t xml:space="preserve"> – Low (0) to High (2)</w:t>
      </w:r>
    </w:p>
    <w:p w14:paraId="07C60CAB" w14:textId="77777777" w:rsidR="001A2C69" w:rsidRDefault="001A2C69" w:rsidP="009333B8">
      <w:pPr>
        <w:pStyle w:val="ListParagraph"/>
        <w:numPr>
          <w:ilvl w:val="0"/>
          <w:numId w:val="184"/>
        </w:numPr>
      </w:pPr>
      <w:r w:rsidRPr="000B7E2B">
        <w:rPr>
          <w:b/>
        </w:rPr>
        <w:t>Ease of Exploitation</w:t>
      </w:r>
      <w:r>
        <w:t xml:space="preserve"> – Low (0) to High (2)</w:t>
      </w:r>
    </w:p>
    <w:p w14:paraId="53E0AC26" w14:textId="77777777" w:rsidR="001A2C69" w:rsidRDefault="001A2C69" w:rsidP="001A2C69">
      <w:pPr>
        <w:ind w:left="360"/>
      </w:pPr>
      <w:r w:rsidRPr="00C05E56">
        <w:t xml:space="preserve">A </w:t>
      </w:r>
      <w:r>
        <w:t>total</w:t>
      </w:r>
      <w:r w:rsidRPr="00C05E56">
        <w:t xml:space="preserve"> score should be produced for each</w:t>
      </w:r>
      <w:r>
        <w:t xml:space="preserve"> threat</w:t>
      </w:r>
      <w:r w:rsidRPr="00C05E56">
        <w:t xml:space="preserve">, </w:t>
      </w:r>
      <w:r>
        <w:t>which is the sum of the scores given for each category.</w:t>
      </w:r>
    </w:p>
    <w:p w14:paraId="6D391833" w14:textId="77777777" w:rsidR="001A2C69" w:rsidRDefault="001A2C69" w:rsidP="001A2C69">
      <w:pPr>
        <w:pStyle w:val="Heading2"/>
        <w:ind w:left="1080" w:hanging="720"/>
        <w:rPr>
          <w:rFonts w:eastAsia="Times New Roman"/>
        </w:rPr>
      </w:pPr>
      <w:r>
        <w:rPr>
          <w:rFonts w:eastAsia="Times New Roman"/>
        </w:rPr>
        <w:t xml:space="preserve">Existing </w:t>
      </w:r>
      <w:r w:rsidRPr="00C05E56">
        <w:rPr>
          <w:rFonts w:eastAsia="Times New Roman"/>
        </w:rPr>
        <w:t>Controls</w:t>
      </w:r>
    </w:p>
    <w:p w14:paraId="42625A08" w14:textId="77777777" w:rsidR="001A2C69" w:rsidRDefault="001A2C69" w:rsidP="001A2C69">
      <w:pPr>
        <w:ind w:left="360"/>
      </w:pPr>
      <w:r w:rsidRPr="00C05E56">
        <w:t xml:space="preserve">This list will primarily consist of active policies and </w:t>
      </w:r>
      <w:r>
        <w:t>technologies such as:</w:t>
      </w:r>
    </w:p>
    <w:p w14:paraId="5224C856" w14:textId="77777777" w:rsidR="001A2C69" w:rsidRDefault="001A2C69" w:rsidP="009333B8">
      <w:pPr>
        <w:pStyle w:val="ListParagraph"/>
        <w:numPr>
          <w:ilvl w:val="0"/>
          <w:numId w:val="185"/>
        </w:numPr>
      </w:pPr>
      <w:r>
        <w:t>Password change policy</w:t>
      </w:r>
    </w:p>
    <w:p w14:paraId="68266681" w14:textId="77777777" w:rsidR="001A2C69" w:rsidRDefault="001A2C69" w:rsidP="009333B8">
      <w:pPr>
        <w:pStyle w:val="ListParagraph"/>
        <w:numPr>
          <w:ilvl w:val="0"/>
          <w:numId w:val="185"/>
        </w:numPr>
      </w:pPr>
      <w:r>
        <w:t>Backup policy</w:t>
      </w:r>
    </w:p>
    <w:p w14:paraId="243745D8" w14:textId="77777777" w:rsidR="001A2C69" w:rsidRDefault="001A2C69" w:rsidP="009333B8">
      <w:pPr>
        <w:pStyle w:val="ListParagraph"/>
        <w:numPr>
          <w:ilvl w:val="0"/>
          <w:numId w:val="185"/>
        </w:numPr>
      </w:pPr>
      <w:r>
        <w:t xml:space="preserve">Firewall </w:t>
      </w:r>
    </w:p>
    <w:p w14:paraId="777F4748" w14:textId="77777777" w:rsidR="001A2C69" w:rsidRDefault="001A2C69" w:rsidP="001A2C69">
      <w:pPr>
        <w:pStyle w:val="Heading2"/>
        <w:ind w:left="1080" w:hanging="720"/>
        <w:rPr>
          <w:rFonts w:eastAsia="Times New Roman"/>
        </w:rPr>
      </w:pPr>
      <w:r w:rsidRPr="00C05E56">
        <w:rPr>
          <w:rFonts w:eastAsia="Times New Roman"/>
        </w:rPr>
        <w:t>Mitigation Plan</w:t>
      </w:r>
    </w:p>
    <w:p w14:paraId="68DE90DC" w14:textId="77777777" w:rsidR="001A2C69" w:rsidRPr="00C05E56" w:rsidRDefault="001A2C69" w:rsidP="001A2C69">
      <w:pPr>
        <w:ind w:left="360"/>
      </w:pPr>
      <w:r w:rsidRPr="00C05E56">
        <w:t>Any vulnerabilities with a risk score of 6 or above should be listed on the mitigation plan.  For each entry, a mitigation strategy should be developed. In cases where no practi</w:t>
      </w:r>
      <w:r>
        <w:t>cal mitigation strategy can be f</w:t>
      </w:r>
      <w:r w:rsidRPr="00C05E56">
        <w:t>ound, the risk can be accepted.  If any mitigation is under way, the status of said mitigation should be shown.</w:t>
      </w:r>
    </w:p>
    <w:p w14:paraId="3D6843EE" w14:textId="77777777" w:rsidR="001A2C69" w:rsidRPr="00C05E56" w:rsidRDefault="001A2C69" w:rsidP="001A2C69">
      <w:pPr>
        <w:ind w:left="360"/>
      </w:pPr>
      <w:r w:rsidRPr="00C05E56">
        <w:t xml:space="preserve">The </w:t>
      </w:r>
      <w:r>
        <w:t>IT Manager</w:t>
      </w:r>
      <w:r w:rsidRPr="00C05E56">
        <w:t xml:space="preserve"> will convene a meeting of appropriate personnel, </w:t>
      </w:r>
      <w:r>
        <w:t>and develop plans for mitigating risk of score 3 to 5</w:t>
      </w:r>
      <w:r w:rsidRPr="00C05E56">
        <w:t>. In the case of a temporary mitigation strategy, a long-term approach should be developed and listed as well.</w:t>
      </w:r>
    </w:p>
    <w:p w14:paraId="65B3A6FC" w14:textId="77777777" w:rsidR="00925BB6" w:rsidRDefault="00925BB6" w:rsidP="00734A04">
      <w:pPr>
        <w:pStyle w:val="Heading1"/>
        <w:ind w:left="360" w:hanging="360"/>
      </w:pPr>
      <w:r>
        <w:lastRenderedPageBreak/>
        <w:t>Compliance</w:t>
      </w:r>
    </w:p>
    <w:p w14:paraId="381A10B3" w14:textId="77777777" w:rsidR="00925BB6" w:rsidRDefault="00925BB6" w:rsidP="00734A04">
      <w:pPr>
        <w:pStyle w:val="Heading2"/>
        <w:ind w:left="1080" w:hanging="720"/>
      </w:pPr>
      <w:r>
        <w:t>Compliance Measurement</w:t>
      </w:r>
    </w:p>
    <w:p w14:paraId="5AFF863B" w14:textId="533F181D" w:rsidR="00925BB6" w:rsidRDefault="00925BB6" w:rsidP="00734A04">
      <w:pPr>
        <w:ind w:left="360"/>
      </w:pPr>
      <w:r w:rsidRPr="0048187D">
        <w:t xml:space="preserve">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 xml:space="preserve">&gt; </w:t>
      </w:r>
      <w:r w:rsidRPr="0048187D">
        <w:t>will verify compliance to this policy through various methods, including but not limited to, business tool reports, internal and external audits, and feedback to the policy owner.</w:t>
      </w:r>
    </w:p>
    <w:p w14:paraId="17CD7228" w14:textId="77777777" w:rsidR="00925BB6" w:rsidRDefault="00925BB6" w:rsidP="00734A04">
      <w:pPr>
        <w:pStyle w:val="Heading2"/>
        <w:ind w:left="1080" w:hanging="720"/>
      </w:pPr>
      <w:r w:rsidRPr="00925BB6">
        <w:t>Exceptions</w:t>
      </w:r>
    </w:p>
    <w:p w14:paraId="3FA13183" w14:textId="368CE894" w:rsidR="00925BB6" w:rsidRDefault="00925BB6" w:rsidP="00734A04">
      <w:pPr>
        <w:ind w:left="360"/>
      </w:pPr>
      <w:r w:rsidRPr="0048187D">
        <w:t xml:space="preserve">Any exception to the policy must be approved by 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>&gt;</w:t>
      </w:r>
      <w:r w:rsidRPr="0048187D">
        <w:t xml:space="preserve"> in advance.</w:t>
      </w:r>
    </w:p>
    <w:p w14:paraId="25F54549" w14:textId="77777777" w:rsidR="00925BB6" w:rsidRDefault="00925BB6" w:rsidP="00734A04">
      <w:pPr>
        <w:pStyle w:val="Heading2"/>
        <w:ind w:left="1080" w:hanging="720"/>
      </w:pPr>
      <w:r>
        <w:t>Non-</w:t>
      </w:r>
      <w:r w:rsidRPr="00925BB6">
        <w:t>Compliance</w:t>
      </w:r>
    </w:p>
    <w:p w14:paraId="4D6FBB10" w14:textId="04203C35" w:rsidR="00925BB6" w:rsidRDefault="00925BB6" w:rsidP="00734A04">
      <w:pPr>
        <w:ind w:left="360"/>
      </w:pPr>
      <w:r w:rsidRPr="00155EA3">
        <w:t xml:space="preserve">An employee found to have violated this policy may be subject to disciplinary </w:t>
      </w:r>
      <w:r>
        <w:t xml:space="preserve">action in accordance with </w:t>
      </w:r>
      <w:r w:rsidR="00927F90" w:rsidRPr="0004689D">
        <w:rPr>
          <w:b/>
          <w:color w:val="FF0000"/>
        </w:rPr>
        <w:t>&lt;</w:t>
      </w:r>
      <w:r w:rsidR="0019142C" w:rsidRPr="0004689D">
        <w:rPr>
          <w:b/>
          <w:color w:val="FF0000"/>
        </w:rPr>
        <w:t>Utility</w:t>
      </w:r>
      <w:r w:rsidRPr="0004689D">
        <w:rPr>
          <w:b/>
          <w:color w:val="FF0000"/>
        </w:rPr>
        <w:t xml:space="preserve"> </w:t>
      </w:r>
      <w:r w:rsidR="00927F90" w:rsidRPr="0004689D">
        <w:rPr>
          <w:b/>
          <w:color w:val="FF0000"/>
        </w:rPr>
        <w:t>Name&gt;</w:t>
      </w:r>
      <w:r w:rsidR="00927F90">
        <w:t xml:space="preserve"> </w:t>
      </w:r>
      <w:r>
        <w:t>HR policies.</w:t>
      </w:r>
    </w:p>
    <w:p w14:paraId="526841D5" w14:textId="77777777" w:rsidR="00925BB6" w:rsidRDefault="00925BB6" w:rsidP="00734A04">
      <w:pPr>
        <w:pStyle w:val="Heading1"/>
        <w:ind w:left="360" w:hanging="360"/>
      </w:pPr>
      <w:r>
        <w:t>Related Standards, Policies, and Processes</w:t>
      </w:r>
    </w:p>
    <w:p w14:paraId="04B26D3D" w14:textId="77777777" w:rsidR="00925BB6" w:rsidRDefault="00925BB6" w:rsidP="00925BB6">
      <w:pPr>
        <w:pStyle w:val="ListParagraph"/>
        <w:numPr>
          <w:ilvl w:val="0"/>
          <w:numId w:val="4"/>
        </w:numPr>
      </w:pPr>
      <w:r>
        <w:t>PCI DSS Risk Assessment Guidelines</w:t>
      </w:r>
      <w:r>
        <w:br/>
      </w:r>
    </w:p>
    <w:p w14:paraId="4C155D01" w14:textId="77777777" w:rsidR="00925BB6" w:rsidRDefault="00925BB6" w:rsidP="00925BB6">
      <w:pPr>
        <w:pStyle w:val="ListParagraph"/>
        <w:numPr>
          <w:ilvl w:val="0"/>
          <w:numId w:val="4"/>
        </w:numPr>
      </w:pPr>
      <w:r>
        <w:t>Data Classification Policy</w:t>
      </w:r>
      <w:r>
        <w:br/>
      </w:r>
    </w:p>
    <w:p w14:paraId="6A9DD0C5" w14:textId="77777777" w:rsidR="00925BB6" w:rsidRDefault="00925BB6" w:rsidP="00925BB6">
      <w:pPr>
        <w:pStyle w:val="ListParagraph"/>
        <w:numPr>
          <w:ilvl w:val="0"/>
          <w:numId w:val="4"/>
        </w:numPr>
      </w:pPr>
      <w:r w:rsidRPr="00FF0126">
        <w:t>Data Protection and Availability Standard</w:t>
      </w:r>
      <w:r>
        <w:t>s</w:t>
      </w:r>
    </w:p>
    <w:p w14:paraId="435EF480" w14:textId="77777777" w:rsidR="00633437" w:rsidRDefault="00633437" w:rsidP="00633437">
      <w:pPr>
        <w:pStyle w:val="ListParagraph"/>
      </w:pPr>
    </w:p>
    <w:p w14:paraId="2CD6B1A9" w14:textId="77777777" w:rsidR="00925BB6" w:rsidRDefault="00925BB6" w:rsidP="00734A04">
      <w:pPr>
        <w:pStyle w:val="Heading1"/>
        <w:ind w:left="360" w:hanging="360"/>
      </w:pPr>
      <w:r>
        <w:t>Governance Responsibilities</w:t>
      </w:r>
    </w:p>
    <w:p w14:paraId="0C0EB06A" w14:textId="77777777" w:rsidR="003E1B62" w:rsidRPr="002575CF" w:rsidRDefault="003E1B62" w:rsidP="003E1B62">
      <w:r>
        <w:t>The ISP uses the RACI model for assigning responsibility.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5BB6" w14:paraId="5527F40E" w14:textId="77777777" w:rsidTr="00633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6A6E18" w14:textId="77777777" w:rsidR="00925BB6" w:rsidRDefault="00925BB6" w:rsidP="005312E3">
            <w:pPr>
              <w:jc w:val="center"/>
            </w:pPr>
            <w:r w:rsidRPr="0098428F">
              <w:rPr>
                <w:b w:val="0"/>
              </w:rPr>
              <w:t>Responsible</w:t>
            </w:r>
          </w:p>
        </w:tc>
        <w:tc>
          <w:tcPr>
            <w:tcW w:w="2337" w:type="dxa"/>
          </w:tcPr>
          <w:p w14:paraId="650E766B" w14:textId="77777777" w:rsidR="00925BB6" w:rsidRDefault="00925BB6" w:rsidP="00531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Accountable</w:t>
            </w:r>
          </w:p>
        </w:tc>
        <w:tc>
          <w:tcPr>
            <w:tcW w:w="2338" w:type="dxa"/>
          </w:tcPr>
          <w:p w14:paraId="76E1CFB1" w14:textId="77777777" w:rsidR="00925BB6" w:rsidRDefault="00925BB6" w:rsidP="00531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Consulted</w:t>
            </w:r>
          </w:p>
        </w:tc>
        <w:tc>
          <w:tcPr>
            <w:tcW w:w="2338" w:type="dxa"/>
          </w:tcPr>
          <w:p w14:paraId="4FE9BDEC" w14:textId="77777777" w:rsidR="00925BB6" w:rsidRDefault="00925BB6" w:rsidP="00531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Informed</w:t>
            </w:r>
          </w:p>
        </w:tc>
      </w:tr>
      <w:tr w:rsidR="00925BB6" w14:paraId="2BA802A7" w14:textId="77777777" w:rsidTr="0063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CA9772" w14:textId="77777777" w:rsidR="00925BB6" w:rsidRDefault="00925BB6" w:rsidP="005312E3">
            <w:pPr>
              <w:jc w:val="center"/>
            </w:pPr>
            <w:r>
              <w:br/>
              <w:t>CIO</w:t>
            </w:r>
            <w:r>
              <w:br/>
            </w:r>
          </w:p>
        </w:tc>
        <w:tc>
          <w:tcPr>
            <w:tcW w:w="2337" w:type="dxa"/>
          </w:tcPr>
          <w:p w14:paraId="0F20F2DE" w14:textId="77777777" w:rsidR="00925BB6" w:rsidRDefault="00925BB6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11EB43" w14:textId="77777777" w:rsidR="00925BB6" w:rsidRPr="00764189" w:rsidRDefault="00925BB6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CEO/GM</w:t>
            </w:r>
          </w:p>
        </w:tc>
        <w:tc>
          <w:tcPr>
            <w:tcW w:w="2338" w:type="dxa"/>
          </w:tcPr>
          <w:p w14:paraId="107B6786" w14:textId="77777777" w:rsidR="00925BB6" w:rsidRDefault="00925BB6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3F2EA8" w14:textId="77777777" w:rsidR="00925BB6" w:rsidRDefault="00925BB6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CFO</w:t>
            </w:r>
          </w:p>
          <w:p w14:paraId="37EDDEF7" w14:textId="77777777" w:rsidR="00925BB6" w:rsidRDefault="00925BB6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COO</w:t>
            </w:r>
          </w:p>
          <w:p w14:paraId="3838B35C" w14:textId="77777777" w:rsidR="00925BB6" w:rsidRDefault="00633437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Legal Department</w:t>
            </w:r>
          </w:p>
          <w:p w14:paraId="3B8F6DD7" w14:textId="77777777" w:rsidR="00AD50F1" w:rsidRPr="00764189" w:rsidRDefault="00AD50F1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14:paraId="0875AF38" w14:textId="77777777" w:rsidR="00925BB6" w:rsidRDefault="00925BB6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CFB037" w14:textId="77777777" w:rsidR="00925BB6" w:rsidRPr="00764189" w:rsidRDefault="00925BB6" w:rsidP="00531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89">
              <w:rPr>
                <w:b/>
              </w:rPr>
              <w:t>All Employees</w:t>
            </w:r>
          </w:p>
        </w:tc>
      </w:tr>
    </w:tbl>
    <w:p w14:paraId="677A7DE2" w14:textId="6F23F24D" w:rsidR="00925BB6" w:rsidRPr="005B13D6" w:rsidRDefault="00925BB6" w:rsidP="005312E3">
      <w:pPr>
        <w:ind w:left="1080"/>
        <w:rPr>
          <w:i/>
          <w:color w:val="0070C0"/>
        </w:rPr>
      </w:pPr>
      <w:r w:rsidRPr="005B13D6">
        <w:rPr>
          <w:i/>
          <w:color w:val="0070C0"/>
        </w:rPr>
        <w:t xml:space="preserve">[Explanatory Note:  </w:t>
      </w:r>
      <w:r w:rsidR="00465FD7">
        <w:rPr>
          <w:i/>
          <w:color w:val="0070C0"/>
        </w:rPr>
        <w:t>&lt;Utility Name&gt;</w:t>
      </w:r>
      <w:r w:rsidRPr="005B13D6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5B13D6">
        <w:rPr>
          <w:i/>
          <w:color w:val="0070C0"/>
        </w:rPr>
        <w:t>.]</w:t>
      </w:r>
    </w:p>
    <w:p w14:paraId="613C304D" w14:textId="77777777" w:rsidR="00925BB6" w:rsidRDefault="00925BB6" w:rsidP="0031117A">
      <w:pPr>
        <w:pStyle w:val="Heading1"/>
      </w:pPr>
      <w:r w:rsidRPr="00925BB6">
        <w:t>Approval</w:t>
      </w:r>
    </w:p>
    <w:p w14:paraId="5D15D4B6" w14:textId="77777777" w:rsidR="00925BB6" w:rsidRDefault="00925BB6" w:rsidP="005312E3">
      <w:pPr>
        <w:spacing w:after="0" w:line="240" w:lineRule="auto"/>
      </w:pPr>
    </w:p>
    <w:p w14:paraId="298E22AF" w14:textId="77777777" w:rsidR="00925BB6" w:rsidRDefault="00925BB6" w:rsidP="005312E3">
      <w:pPr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D561E0" w14:textId="77777777" w:rsidR="00925BB6" w:rsidRDefault="00925BB6" w:rsidP="005312E3">
      <w:pPr>
        <w:spacing w:after="0" w:line="240" w:lineRule="auto"/>
      </w:pPr>
      <w:r w:rsidRPr="00520174">
        <w:rPr>
          <w:color w:val="FF0000"/>
        </w:rPr>
        <w:t>&lt;</w:t>
      </w:r>
      <w:r w:rsidRPr="00520174">
        <w:rPr>
          <w:b/>
          <w:color w:val="FF0000"/>
        </w:rPr>
        <w:t xml:space="preserve">Insert title of </w:t>
      </w:r>
      <w:r>
        <w:rPr>
          <w:b/>
          <w:color w:val="FF0000"/>
        </w:rPr>
        <w:t>Accountable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3118A119" w14:textId="77777777" w:rsidR="00925BB6" w:rsidRDefault="00925BB6" w:rsidP="005312E3">
      <w:pPr>
        <w:spacing w:after="0" w:line="240" w:lineRule="auto"/>
      </w:pPr>
    </w:p>
    <w:p w14:paraId="18E903F1" w14:textId="77777777" w:rsidR="00925BB6" w:rsidRDefault="00925BB6" w:rsidP="0031117A">
      <w:pPr>
        <w:pStyle w:val="Heading1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5395"/>
      </w:tblGrid>
      <w:tr w:rsidR="00925BB6" w14:paraId="5B273FCF" w14:textId="77777777" w:rsidTr="005312E3">
        <w:tc>
          <w:tcPr>
            <w:tcW w:w="1975" w:type="dxa"/>
          </w:tcPr>
          <w:p w14:paraId="3E48EF72" w14:textId="77777777" w:rsidR="00925BB6" w:rsidRDefault="00925BB6" w:rsidP="005312E3">
            <w:r>
              <w:t>Date of Change(s)</w:t>
            </w:r>
          </w:p>
        </w:tc>
        <w:tc>
          <w:tcPr>
            <w:tcW w:w="1980" w:type="dxa"/>
          </w:tcPr>
          <w:p w14:paraId="0F16B96A" w14:textId="77777777" w:rsidR="00925BB6" w:rsidRDefault="00925BB6" w:rsidP="005312E3">
            <w:r>
              <w:t>Revised by</w:t>
            </w:r>
          </w:p>
        </w:tc>
        <w:tc>
          <w:tcPr>
            <w:tcW w:w="5395" w:type="dxa"/>
          </w:tcPr>
          <w:p w14:paraId="75D3D88B" w14:textId="77777777" w:rsidR="00925BB6" w:rsidRDefault="00925BB6" w:rsidP="005312E3">
            <w:r>
              <w:t>Summary of Change(s)</w:t>
            </w:r>
          </w:p>
        </w:tc>
      </w:tr>
      <w:tr w:rsidR="00925BB6" w14:paraId="22618E92" w14:textId="77777777" w:rsidTr="005312E3">
        <w:tc>
          <w:tcPr>
            <w:tcW w:w="1975" w:type="dxa"/>
          </w:tcPr>
          <w:p w14:paraId="0BC7D706" w14:textId="77777777" w:rsidR="00925BB6" w:rsidRDefault="00925BB6" w:rsidP="005312E3"/>
        </w:tc>
        <w:tc>
          <w:tcPr>
            <w:tcW w:w="1980" w:type="dxa"/>
          </w:tcPr>
          <w:p w14:paraId="0C90A719" w14:textId="77777777" w:rsidR="00925BB6" w:rsidRDefault="00925BB6" w:rsidP="005312E3"/>
        </w:tc>
        <w:tc>
          <w:tcPr>
            <w:tcW w:w="5395" w:type="dxa"/>
          </w:tcPr>
          <w:p w14:paraId="24671A1D" w14:textId="77777777" w:rsidR="00925BB6" w:rsidRDefault="00925BB6" w:rsidP="005312E3"/>
        </w:tc>
      </w:tr>
      <w:tr w:rsidR="00925BB6" w14:paraId="2E5950B2" w14:textId="77777777" w:rsidTr="005312E3">
        <w:tc>
          <w:tcPr>
            <w:tcW w:w="1975" w:type="dxa"/>
          </w:tcPr>
          <w:p w14:paraId="13A74E2F" w14:textId="77777777" w:rsidR="00925BB6" w:rsidRDefault="00925BB6" w:rsidP="005312E3"/>
        </w:tc>
        <w:tc>
          <w:tcPr>
            <w:tcW w:w="1980" w:type="dxa"/>
          </w:tcPr>
          <w:p w14:paraId="146F1E12" w14:textId="77777777" w:rsidR="00925BB6" w:rsidRDefault="00925BB6" w:rsidP="005312E3"/>
        </w:tc>
        <w:tc>
          <w:tcPr>
            <w:tcW w:w="5395" w:type="dxa"/>
          </w:tcPr>
          <w:p w14:paraId="05E14679" w14:textId="77777777" w:rsidR="00925BB6" w:rsidRDefault="00925BB6" w:rsidP="005312E3"/>
        </w:tc>
      </w:tr>
      <w:tr w:rsidR="00925BB6" w14:paraId="03EAEDA3" w14:textId="77777777" w:rsidTr="005312E3">
        <w:tc>
          <w:tcPr>
            <w:tcW w:w="1975" w:type="dxa"/>
          </w:tcPr>
          <w:p w14:paraId="3379941B" w14:textId="77777777" w:rsidR="00925BB6" w:rsidRDefault="00925BB6" w:rsidP="005312E3"/>
        </w:tc>
        <w:tc>
          <w:tcPr>
            <w:tcW w:w="1980" w:type="dxa"/>
          </w:tcPr>
          <w:p w14:paraId="5A33A8AC" w14:textId="77777777" w:rsidR="00925BB6" w:rsidRDefault="00925BB6" w:rsidP="005312E3"/>
        </w:tc>
        <w:tc>
          <w:tcPr>
            <w:tcW w:w="5395" w:type="dxa"/>
          </w:tcPr>
          <w:p w14:paraId="0ADAB8A9" w14:textId="77777777" w:rsidR="00925BB6" w:rsidRDefault="00925BB6" w:rsidP="005312E3"/>
        </w:tc>
      </w:tr>
      <w:tr w:rsidR="00925BB6" w14:paraId="1FE5B773" w14:textId="77777777" w:rsidTr="005312E3">
        <w:tc>
          <w:tcPr>
            <w:tcW w:w="1975" w:type="dxa"/>
          </w:tcPr>
          <w:p w14:paraId="66AB2934" w14:textId="77777777" w:rsidR="00925BB6" w:rsidRDefault="00925BB6" w:rsidP="005312E3"/>
        </w:tc>
        <w:tc>
          <w:tcPr>
            <w:tcW w:w="1980" w:type="dxa"/>
          </w:tcPr>
          <w:p w14:paraId="4F58A96C" w14:textId="77777777" w:rsidR="00925BB6" w:rsidRDefault="00925BB6" w:rsidP="005312E3"/>
        </w:tc>
        <w:tc>
          <w:tcPr>
            <w:tcW w:w="5395" w:type="dxa"/>
          </w:tcPr>
          <w:p w14:paraId="176885E7" w14:textId="77777777" w:rsidR="00925BB6" w:rsidRDefault="00925BB6" w:rsidP="005312E3"/>
        </w:tc>
      </w:tr>
    </w:tbl>
    <w:p w14:paraId="4ABB8A06" w14:textId="77777777" w:rsidR="00925BB6" w:rsidRDefault="00925BB6" w:rsidP="005312E3"/>
    <w:sectPr w:rsidR="00925BB6" w:rsidSect="00E6322B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664719" w:rsidRDefault="00664719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664719" w:rsidRDefault="00664719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147376B6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664719" w:rsidRDefault="006647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3F16EBDF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asciiTheme="majorHAnsi" w:eastAsiaTheme="majorEastAsia" w:hAnsiTheme="majorHAnsi" w:cstheme="majorBidi"/>
      </w:rPr>
      <w:t>_____</w:t>
    </w:r>
  </w:p>
  <w:p w14:paraId="03EC890F" w14:textId="77777777" w:rsidR="00664719" w:rsidRDefault="00664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664719" w:rsidRDefault="00664719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664719" w:rsidRDefault="00664719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664719" w:rsidRPr="00CB4F25" w:rsidRDefault="00664719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664719" w:rsidRDefault="00664719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D744CF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 w:numId="186">
    <w:abstractNumId w:val="2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52899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4318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704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719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DF5606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22B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1652D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31CA2-9C37-40CD-95D4-3F4E9388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6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2016-06-10T14:09:00Z</dcterms:created>
  <dcterms:modified xsi:type="dcterms:W3CDTF">2016-06-10T14:58:00Z</dcterms:modified>
</cp:coreProperties>
</file>