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87975" w14:textId="77777777" w:rsidR="0079680C" w:rsidRDefault="0079680C" w:rsidP="00F77A7F">
      <w:bookmarkStart w:id="0" w:name="_GoBack"/>
      <w:bookmarkEnd w:id="0"/>
      <w:r w:rsidRPr="00993CE3">
        <w:rPr>
          <w:noProof/>
        </w:rPr>
        <w:drawing>
          <wp:inline distT="0" distB="0" distL="0" distR="0" wp14:anchorId="7C62A8BC" wp14:editId="25AC5790">
            <wp:extent cx="582843" cy="732450"/>
            <wp:effectExtent l="38100" t="38100" r="84455" b="679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mb_IMG_0129_1024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843" cy="732450"/>
                    </a:xfrm>
                    <a:prstGeom prst="rect">
                      <a:avLst/>
                    </a:prstGeom>
                    <a:effectLst>
                      <a:outerShdw blurRad="50800" dist="38100" dir="2700000" algn="tl" rotWithShape="0">
                        <a:prstClr val="black">
                          <a:alpha val="40000"/>
                        </a:prstClr>
                      </a:outerShdw>
                    </a:effectLst>
                  </pic:spPr>
                </pic:pic>
              </a:graphicData>
            </a:graphic>
          </wp:inline>
        </w:drawing>
      </w:r>
      <w:r w:rsidRPr="00993CE3">
        <w:t xml:space="preserve"> </w:t>
      </w:r>
    </w:p>
    <w:p w14:paraId="2FE83F71" w14:textId="77777777" w:rsidR="0079680C" w:rsidRDefault="0079680C" w:rsidP="0079680C">
      <w:pPr>
        <w:pStyle w:val="Title"/>
        <w:jc w:val="center"/>
      </w:pPr>
      <w:bookmarkStart w:id="1" w:name="_Toc452019026"/>
      <w:bookmarkStart w:id="2" w:name="_Toc453241967"/>
      <w:r>
        <w:t>Password Construction Guidelines</w:t>
      </w:r>
      <w:bookmarkEnd w:id="1"/>
      <w:bookmarkEnd w:id="2"/>
    </w:p>
    <w:p w14:paraId="7BD6A5E4" w14:textId="77777777" w:rsidR="0079680C" w:rsidRDefault="0079680C" w:rsidP="009333B8">
      <w:pPr>
        <w:pStyle w:val="Heading1"/>
        <w:numPr>
          <w:ilvl w:val="0"/>
          <w:numId w:val="62"/>
        </w:numPr>
        <w:ind w:left="360" w:hanging="360"/>
      </w:pPr>
      <w:r>
        <w:t>Overview/Purpose</w:t>
      </w:r>
    </w:p>
    <w:p w14:paraId="74A725D8" w14:textId="77777777" w:rsidR="0079680C" w:rsidRDefault="0079680C" w:rsidP="0079680C">
      <w:r w:rsidRPr="00EF4349">
        <w:rPr>
          <w:u w:color="000000"/>
          <w:bdr w:val="nil"/>
        </w:rPr>
        <w:t>Passwords are a critical component of information security. Passwords serve to protect user accounts; however, a poorly constructed password may result in the compromise of individual systems, data, or the Cisco network. This guideline provides best practices for creating secure passwords</w:t>
      </w:r>
    </w:p>
    <w:p w14:paraId="4B63BFC9" w14:textId="77777777" w:rsidR="0079680C" w:rsidRDefault="0079680C" w:rsidP="0079680C">
      <w:r w:rsidRPr="00A66DB7">
        <w:t>The purpose of this guidelines is to provide best practices for the created of strong passwords.</w:t>
      </w:r>
    </w:p>
    <w:p w14:paraId="4CC166A6" w14:textId="77777777" w:rsidR="0079680C" w:rsidRDefault="0079680C" w:rsidP="00315BFB">
      <w:pPr>
        <w:pStyle w:val="Heading1"/>
        <w:ind w:left="360" w:hanging="360"/>
      </w:pPr>
      <w:r>
        <w:t>Scope</w:t>
      </w:r>
    </w:p>
    <w:p w14:paraId="328BC5F9" w14:textId="77777777" w:rsidR="0079680C" w:rsidRDefault="0079680C" w:rsidP="0079680C">
      <w:r w:rsidRPr="00A66DB7">
        <w:t>This guideline applies to employees, contractors, consultants, temporary and other workers at Cisco, including all personnel affiliated with third parties. This guideline applies to all passwords including but not limited to user-level accounts, system-level accounts, web accounts, e-mail accounts, screen saver protection, voicemail, and local router logins.</w:t>
      </w:r>
    </w:p>
    <w:p w14:paraId="3736A8DD" w14:textId="77777777" w:rsidR="0079680C" w:rsidRDefault="0079680C" w:rsidP="00315BFB">
      <w:pPr>
        <w:pStyle w:val="Heading1"/>
        <w:ind w:left="360" w:hanging="360"/>
      </w:pPr>
      <w:r>
        <w:t>Statement of Guidelines</w:t>
      </w:r>
    </w:p>
    <w:p w14:paraId="46F90418" w14:textId="77777777" w:rsidR="0079680C" w:rsidRPr="004D2C01" w:rsidRDefault="0079680C" w:rsidP="009333B8">
      <w:pPr>
        <w:pStyle w:val="ListParagraph"/>
        <w:keepNext/>
        <w:keepLines/>
        <w:numPr>
          <w:ilvl w:val="0"/>
          <w:numId w:val="27"/>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5A1EF671" w14:textId="77777777" w:rsidR="0079680C" w:rsidRPr="004D2C01" w:rsidRDefault="0079680C" w:rsidP="009333B8">
      <w:pPr>
        <w:pStyle w:val="ListParagraph"/>
        <w:keepNext/>
        <w:keepLines/>
        <w:numPr>
          <w:ilvl w:val="0"/>
          <w:numId w:val="27"/>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70E13234" w14:textId="77777777" w:rsidR="0079680C" w:rsidRPr="004D2C01" w:rsidRDefault="0079680C" w:rsidP="009333B8">
      <w:pPr>
        <w:pStyle w:val="ListParagraph"/>
        <w:keepNext/>
        <w:keepLines/>
        <w:numPr>
          <w:ilvl w:val="0"/>
          <w:numId w:val="27"/>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0A4FD6FA" w14:textId="77777777" w:rsidR="0079680C" w:rsidRPr="007A5603" w:rsidRDefault="0079680C" w:rsidP="009333B8">
      <w:pPr>
        <w:pStyle w:val="ListParagraph"/>
        <w:keepNext/>
        <w:keepLines/>
        <w:numPr>
          <w:ilvl w:val="0"/>
          <w:numId w:val="28"/>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33F6DF75" w14:textId="77777777" w:rsidR="0079680C" w:rsidRPr="007A5603" w:rsidRDefault="0079680C" w:rsidP="009333B8">
      <w:pPr>
        <w:pStyle w:val="ListParagraph"/>
        <w:keepNext/>
        <w:keepLines/>
        <w:numPr>
          <w:ilvl w:val="0"/>
          <w:numId w:val="28"/>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20E74C8B" w14:textId="77777777" w:rsidR="0079680C" w:rsidRPr="007A5603" w:rsidRDefault="0079680C" w:rsidP="009333B8">
      <w:pPr>
        <w:pStyle w:val="ListParagraph"/>
        <w:keepNext/>
        <w:keepLines/>
        <w:numPr>
          <w:ilvl w:val="0"/>
          <w:numId w:val="28"/>
        </w:numPr>
        <w:pBdr>
          <w:top w:val="nil"/>
          <w:left w:val="nil"/>
          <w:bottom w:val="nil"/>
          <w:right w:val="nil"/>
          <w:between w:val="nil"/>
          <w:bar w:val="nil"/>
        </w:pBdr>
        <w:spacing w:before="40" w:after="0"/>
        <w:contextualSpacing w:val="0"/>
        <w:outlineLvl w:val="2"/>
        <w:rPr>
          <w:rFonts w:ascii="Calibri Light" w:eastAsia="Calibri Light" w:hAnsi="Calibri Light" w:cs="Calibri Light"/>
          <w:vanish/>
          <w:color w:val="1F4E79"/>
          <w:sz w:val="24"/>
          <w:szCs w:val="24"/>
          <w:u w:color="1F4E79"/>
        </w:rPr>
      </w:pPr>
    </w:p>
    <w:p w14:paraId="64703D72" w14:textId="432BFD67" w:rsidR="0079680C" w:rsidRDefault="0079680C" w:rsidP="00315BFB">
      <w:pPr>
        <w:pStyle w:val="Heading2"/>
        <w:ind w:left="1080" w:hanging="720"/>
      </w:pPr>
      <w:r>
        <w:t>Passwords</w:t>
      </w:r>
    </w:p>
    <w:p w14:paraId="40F22D29" w14:textId="77777777" w:rsidR="0079680C" w:rsidRDefault="0079680C" w:rsidP="00315BFB">
      <w:pPr>
        <w:ind w:left="360"/>
      </w:pPr>
      <w:r>
        <w:t xml:space="preserve">All passwords should meet or exceed the following guidelines  </w:t>
      </w:r>
    </w:p>
    <w:p w14:paraId="25BB4335" w14:textId="77777777" w:rsidR="0079680C" w:rsidRDefault="0079680C" w:rsidP="00315BFB">
      <w:pPr>
        <w:ind w:left="360"/>
      </w:pPr>
      <w:r>
        <w:t xml:space="preserve">Strong passwords have the following characteristics:  </w:t>
      </w:r>
    </w:p>
    <w:p w14:paraId="1C0DFC68" w14:textId="77777777" w:rsidR="0079680C" w:rsidRDefault="0079680C" w:rsidP="009333B8">
      <w:pPr>
        <w:pStyle w:val="ListParagraph"/>
        <w:numPr>
          <w:ilvl w:val="0"/>
          <w:numId w:val="60"/>
        </w:numPr>
      </w:pPr>
      <w:r>
        <w:t xml:space="preserve">Contain at least 12 alphanumeric characters.  </w:t>
      </w:r>
    </w:p>
    <w:p w14:paraId="5F98E571" w14:textId="77777777" w:rsidR="0079680C" w:rsidRDefault="0079680C" w:rsidP="009333B8">
      <w:pPr>
        <w:pStyle w:val="ListParagraph"/>
        <w:numPr>
          <w:ilvl w:val="0"/>
          <w:numId w:val="60"/>
        </w:numPr>
      </w:pPr>
      <w:r>
        <w:t xml:space="preserve">Contain both upper and lower case letters.   </w:t>
      </w:r>
    </w:p>
    <w:p w14:paraId="07A6FAB8" w14:textId="77777777" w:rsidR="0079680C" w:rsidRDefault="0079680C" w:rsidP="009333B8">
      <w:pPr>
        <w:pStyle w:val="ListParagraph"/>
        <w:numPr>
          <w:ilvl w:val="0"/>
          <w:numId w:val="60"/>
        </w:numPr>
      </w:pPr>
      <w:r>
        <w:t xml:space="preserve">Contain at least one number (for example, 0-9).  </w:t>
      </w:r>
    </w:p>
    <w:p w14:paraId="2BED1014" w14:textId="77777777" w:rsidR="0079680C" w:rsidRDefault="0079680C" w:rsidP="009333B8">
      <w:pPr>
        <w:pStyle w:val="ListParagraph"/>
        <w:numPr>
          <w:ilvl w:val="0"/>
          <w:numId w:val="60"/>
        </w:numPr>
      </w:pPr>
      <w:r>
        <w:t>Contain at least one special character (for example,</w:t>
      </w:r>
      <w:proofErr w:type="gramStart"/>
      <w:r>
        <w:t>!$</w:t>
      </w:r>
      <w:proofErr w:type="gramEnd"/>
      <w:r>
        <w:t xml:space="preserve">%^&amp;*()_+|~-=\`{}[]:";'&lt;&gt;?,/).  </w:t>
      </w:r>
    </w:p>
    <w:p w14:paraId="408EA1B0" w14:textId="77777777" w:rsidR="0079680C" w:rsidRDefault="0079680C" w:rsidP="00315BFB">
      <w:pPr>
        <w:ind w:left="360"/>
      </w:pPr>
      <w:r>
        <w:t xml:space="preserve">Poor, or weak, passwords have the following characteristics:  </w:t>
      </w:r>
    </w:p>
    <w:p w14:paraId="3ADDAF49" w14:textId="77777777" w:rsidR="0079680C" w:rsidRDefault="0079680C" w:rsidP="009333B8">
      <w:pPr>
        <w:pStyle w:val="ListParagraph"/>
        <w:numPr>
          <w:ilvl w:val="0"/>
          <w:numId w:val="61"/>
        </w:numPr>
      </w:pPr>
      <w:r>
        <w:t xml:space="preserve">Contain less than eight characters. </w:t>
      </w:r>
    </w:p>
    <w:p w14:paraId="659A4EE5" w14:textId="77777777" w:rsidR="0079680C" w:rsidRDefault="0079680C" w:rsidP="009333B8">
      <w:pPr>
        <w:pStyle w:val="ListParagraph"/>
        <w:numPr>
          <w:ilvl w:val="0"/>
          <w:numId w:val="61"/>
        </w:numPr>
      </w:pPr>
      <w:r>
        <w:t>Can be found in a dictionary, including foreign language, or exist in a language slang, dialect, or jargon.</w:t>
      </w:r>
    </w:p>
    <w:p w14:paraId="6BD19D0D" w14:textId="77777777" w:rsidR="0079680C" w:rsidRDefault="0079680C" w:rsidP="009333B8">
      <w:pPr>
        <w:pStyle w:val="ListParagraph"/>
        <w:numPr>
          <w:ilvl w:val="0"/>
          <w:numId w:val="61"/>
        </w:numPr>
      </w:pPr>
      <w:r>
        <w:lastRenderedPageBreak/>
        <w:t xml:space="preserve">Contain personal information such as birthdates, addresses, phone numbers, or names of family members, pets, friends, and fantasy characters.  </w:t>
      </w:r>
    </w:p>
    <w:p w14:paraId="6382F135" w14:textId="77777777" w:rsidR="0079680C" w:rsidRDefault="0079680C" w:rsidP="009333B8">
      <w:pPr>
        <w:pStyle w:val="ListParagraph"/>
        <w:numPr>
          <w:ilvl w:val="0"/>
          <w:numId w:val="61"/>
        </w:numPr>
      </w:pPr>
      <w:r>
        <w:t xml:space="preserve">Contain work-related information such as building names, system commands, sites, companies, hardware, or software. </w:t>
      </w:r>
    </w:p>
    <w:p w14:paraId="316C7744" w14:textId="77777777" w:rsidR="0079680C" w:rsidRDefault="0079680C" w:rsidP="009333B8">
      <w:pPr>
        <w:pStyle w:val="ListParagraph"/>
        <w:numPr>
          <w:ilvl w:val="0"/>
          <w:numId w:val="61"/>
        </w:numPr>
      </w:pPr>
      <w:r>
        <w:t xml:space="preserve">Contain number patterns such as </w:t>
      </w:r>
      <w:proofErr w:type="spellStart"/>
      <w:r>
        <w:t>aaabbb</w:t>
      </w:r>
      <w:proofErr w:type="spellEnd"/>
      <w:r>
        <w:t xml:space="preserve">, </w:t>
      </w:r>
      <w:proofErr w:type="gramStart"/>
      <w:r>
        <w:t>qwerty</w:t>
      </w:r>
      <w:proofErr w:type="gramEnd"/>
      <w:r>
        <w:t xml:space="preserve">, </w:t>
      </w:r>
      <w:proofErr w:type="spellStart"/>
      <w:r>
        <w:t>zyxwvuts</w:t>
      </w:r>
      <w:proofErr w:type="spellEnd"/>
      <w:r>
        <w:t xml:space="preserve">, or 123321.  </w:t>
      </w:r>
    </w:p>
    <w:p w14:paraId="29282C98" w14:textId="77777777" w:rsidR="0079680C" w:rsidRDefault="0079680C" w:rsidP="009333B8">
      <w:pPr>
        <w:pStyle w:val="ListParagraph"/>
        <w:numPr>
          <w:ilvl w:val="0"/>
          <w:numId w:val="61"/>
        </w:numPr>
      </w:pPr>
      <w:r>
        <w:t xml:space="preserve">Contain common words spelled backward, or preceded or followed by a number (for example, </w:t>
      </w:r>
      <w:proofErr w:type="spellStart"/>
      <w:r>
        <w:t>terces</w:t>
      </w:r>
      <w:proofErr w:type="spellEnd"/>
      <w:r>
        <w:t xml:space="preserve">, secret1 or 1secret). </w:t>
      </w:r>
    </w:p>
    <w:p w14:paraId="0543823D" w14:textId="77777777" w:rsidR="0079680C" w:rsidRDefault="0079680C" w:rsidP="009333B8">
      <w:pPr>
        <w:pStyle w:val="ListParagraph"/>
        <w:numPr>
          <w:ilvl w:val="0"/>
          <w:numId w:val="61"/>
        </w:numPr>
      </w:pPr>
      <w:r>
        <w:t xml:space="preserve">Are some version of “Welcome123” “Password123” “Changeme123” </w:t>
      </w:r>
    </w:p>
    <w:p w14:paraId="09E8086C" w14:textId="77777777" w:rsidR="0079680C" w:rsidRDefault="0079680C" w:rsidP="009333B8">
      <w:pPr>
        <w:pStyle w:val="ListParagraph"/>
        <w:numPr>
          <w:ilvl w:val="0"/>
          <w:numId w:val="61"/>
        </w:numPr>
      </w:pPr>
      <w:r>
        <w:t xml:space="preserve">You should never write down a password. Instead, try to create passwords that you can remember easily. One way to do this is create a password based on a song title, affirmation, or other phrase. For example, the phrase, "This May Be One Way </w:t>
      </w:r>
      <w:proofErr w:type="gramStart"/>
      <w:r>
        <w:t>To</w:t>
      </w:r>
      <w:proofErr w:type="gramEnd"/>
      <w:r>
        <w:t xml:space="preserve"> Remember" could become the password TmB1w2R! or another variation. </w:t>
      </w:r>
    </w:p>
    <w:p w14:paraId="2597DBCC" w14:textId="77777777" w:rsidR="0079680C" w:rsidRDefault="0079680C" w:rsidP="009333B8">
      <w:pPr>
        <w:pStyle w:val="ListParagraph"/>
        <w:numPr>
          <w:ilvl w:val="0"/>
          <w:numId w:val="61"/>
        </w:numPr>
      </w:pPr>
      <w:r>
        <w:t xml:space="preserve">(NOTE: Do not use either of these examples as passwords!) </w:t>
      </w:r>
    </w:p>
    <w:p w14:paraId="4DD7DC4D" w14:textId="05DFF143" w:rsidR="0079680C" w:rsidRDefault="0079680C" w:rsidP="00315BFB">
      <w:pPr>
        <w:pStyle w:val="Heading2"/>
        <w:ind w:left="1080" w:hanging="720"/>
      </w:pPr>
      <w:r>
        <w:t xml:space="preserve">Passphrases </w:t>
      </w:r>
    </w:p>
    <w:p w14:paraId="6D2B62D7" w14:textId="77777777" w:rsidR="0079680C" w:rsidRDefault="0079680C" w:rsidP="00315BFB">
      <w:pPr>
        <w:ind w:left="360"/>
      </w:pPr>
      <w:r>
        <w:t xml:space="preserve">Passphrases generally are used for public/private key authentication. A public/private key system defines a mathematical relationship between the public key that is known by all, and the private key, that is known only to the user. Without the passphrase to unlock the private key, the user cannot gain access. </w:t>
      </w:r>
    </w:p>
    <w:p w14:paraId="347BCF63" w14:textId="77777777" w:rsidR="0079680C" w:rsidRDefault="0079680C" w:rsidP="00315BFB">
      <w:pPr>
        <w:ind w:left="360"/>
      </w:pPr>
      <w:r>
        <w:t>A passphrase is similar to a password in use; however, it is relatively long and constructed of multiple words, which provides greater security against dictionary attacks. Strong passphrases should follow the general password construction guidelines to include upper and lowercase letters, numbers, and special characters (for example, TheTrafficOnThe101Was*&amp;</w:t>
      </w:r>
      <w:proofErr w:type="gramStart"/>
      <w:r>
        <w:t>!$</w:t>
      </w:r>
      <w:proofErr w:type="spellStart"/>
      <w:proofErr w:type="gramEnd"/>
      <w:r>
        <w:t>ThisMorning</w:t>
      </w:r>
      <w:proofErr w:type="spellEnd"/>
      <w:r>
        <w:t>!).</w:t>
      </w:r>
    </w:p>
    <w:p w14:paraId="0CCFD76B" w14:textId="77777777" w:rsidR="0079680C" w:rsidRDefault="0079680C" w:rsidP="00315BFB">
      <w:pPr>
        <w:pStyle w:val="Heading1"/>
        <w:ind w:left="360" w:hanging="360"/>
      </w:pPr>
      <w:r>
        <w:t>Compliance</w:t>
      </w:r>
    </w:p>
    <w:p w14:paraId="1C87DE2B" w14:textId="77777777" w:rsidR="0079680C" w:rsidRDefault="0079680C" w:rsidP="00315BFB">
      <w:pPr>
        <w:pStyle w:val="Heading2"/>
        <w:ind w:left="1080" w:hanging="720"/>
      </w:pPr>
      <w:r w:rsidRPr="00EB634D">
        <w:t>Compliance</w:t>
      </w:r>
      <w:r>
        <w:t xml:space="preserve"> </w:t>
      </w:r>
      <w:r w:rsidRPr="00EB634D">
        <w:t>Measurement</w:t>
      </w:r>
    </w:p>
    <w:p w14:paraId="2362D73D" w14:textId="3FBA97E7" w:rsidR="0079680C" w:rsidRDefault="0079680C" w:rsidP="00315BFB">
      <w:pPr>
        <w:tabs>
          <w:tab w:val="left" w:pos="360"/>
        </w:tabs>
        <w:ind w:left="360"/>
      </w:pPr>
      <w:r w:rsidRPr="0048187D">
        <w:t xml:space="preserve">The </w:t>
      </w:r>
      <w:r w:rsidRPr="0048187D">
        <w:rPr>
          <w:color w:val="FF0000"/>
        </w:rPr>
        <w:t>&lt;</w:t>
      </w:r>
      <w:r w:rsidRPr="0048187D">
        <w:rPr>
          <w:b/>
          <w:color w:val="FF0000"/>
        </w:rPr>
        <w:t>person or group responsible for policy</w:t>
      </w:r>
      <w:r w:rsidRPr="0048187D">
        <w:rPr>
          <w:color w:val="FF0000"/>
        </w:rPr>
        <w:t xml:space="preserve">&gt; </w:t>
      </w:r>
      <w:r w:rsidRPr="0048187D">
        <w:t>will verify compliance to this policy through various methods, including but not limited to, business tool reports, internal and external audits, and feedback to the policy owner.</w:t>
      </w:r>
    </w:p>
    <w:p w14:paraId="21E7FACE" w14:textId="77777777" w:rsidR="0079680C" w:rsidRDefault="0079680C" w:rsidP="00315BFB">
      <w:pPr>
        <w:pStyle w:val="Heading2"/>
        <w:ind w:left="1080" w:hanging="720"/>
      </w:pPr>
      <w:r w:rsidRPr="00EB634D">
        <w:t>Exceptions</w:t>
      </w:r>
    </w:p>
    <w:p w14:paraId="5B8D7ACA" w14:textId="74623C6D" w:rsidR="0079680C" w:rsidRDefault="0079680C" w:rsidP="00315BFB">
      <w:pPr>
        <w:ind w:left="360"/>
      </w:pPr>
      <w:r w:rsidRPr="0048187D">
        <w:t xml:space="preserve">Any exception to the policy must be approved by the </w:t>
      </w:r>
      <w:r w:rsidRPr="0048187D">
        <w:rPr>
          <w:color w:val="FF0000"/>
        </w:rPr>
        <w:t>&lt;</w:t>
      </w:r>
      <w:r w:rsidRPr="0048187D">
        <w:rPr>
          <w:b/>
          <w:color w:val="FF0000"/>
        </w:rPr>
        <w:t>person or group responsible for policy</w:t>
      </w:r>
      <w:r w:rsidRPr="0048187D">
        <w:rPr>
          <w:color w:val="FF0000"/>
        </w:rPr>
        <w:t>&gt;</w:t>
      </w:r>
      <w:r w:rsidRPr="0048187D">
        <w:t xml:space="preserve"> in advance.</w:t>
      </w:r>
    </w:p>
    <w:p w14:paraId="5DAC7BEF" w14:textId="77777777" w:rsidR="0079680C" w:rsidRDefault="0079680C" w:rsidP="00315BFB">
      <w:pPr>
        <w:pStyle w:val="Heading2"/>
        <w:ind w:left="1080" w:hanging="720"/>
      </w:pPr>
      <w:r>
        <w:t>Non-Compliance</w:t>
      </w:r>
    </w:p>
    <w:p w14:paraId="3D1B76E3" w14:textId="2F0DEF3D" w:rsidR="0079680C" w:rsidRDefault="0079680C" w:rsidP="00315BFB">
      <w:pPr>
        <w:ind w:left="360"/>
      </w:pPr>
      <w:r w:rsidRPr="00F550DA">
        <w:t xml:space="preserve">An employee found to have violated this policy may be subject to disciplinary action in accordance with </w:t>
      </w:r>
      <w:r w:rsidR="00651706" w:rsidRPr="000F09DC">
        <w:rPr>
          <w:b/>
          <w:color w:val="FF0000"/>
        </w:rPr>
        <w:t>&lt;</w:t>
      </w:r>
      <w:r w:rsidR="0019142C" w:rsidRPr="000F09DC">
        <w:rPr>
          <w:b/>
          <w:color w:val="FF0000"/>
        </w:rPr>
        <w:t>Utility</w:t>
      </w:r>
      <w:r w:rsidR="00651706" w:rsidRPr="000F09DC">
        <w:rPr>
          <w:b/>
          <w:color w:val="FF0000"/>
        </w:rPr>
        <w:t xml:space="preserve"> Name&gt;</w:t>
      </w:r>
      <w:r w:rsidRPr="00F550DA">
        <w:t xml:space="preserve"> HR policies.</w:t>
      </w:r>
    </w:p>
    <w:p w14:paraId="61ACADFE" w14:textId="77777777" w:rsidR="0079680C" w:rsidRPr="00764189" w:rsidRDefault="0079680C" w:rsidP="00315BFB">
      <w:pPr>
        <w:pStyle w:val="Heading1"/>
        <w:ind w:left="360" w:hanging="360"/>
      </w:pPr>
      <w:r>
        <w:t>Related Standards, Policies, and Processes</w:t>
      </w:r>
    </w:p>
    <w:p w14:paraId="389BC6B6" w14:textId="1C3DFCEA" w:rsidR="0079680C" w:rsidRPr="0003531D" w:rsidRDefault="0079680C" w:rsidP="0079680C">
      <w:pPr>
        <w:pStyle w:val="ListParagraph"/>
        <w:numPr>
          <w:ilvl w:val="0"/>
          <w:numId w:val="4"/>
        </w:numPr>
        <w:pBdr>
          <w:top w:val="nil"/>
          <w:left w:val="nil"/>
          <w:bottom w:val="nil"/>
          <w:right w:val="nil"/>
          <w:between w:val="nil"/>
          <w:bar w:val="nil"/>
        </w:pBdr>
        <w:contextualSpacing w:val="0"/>
        <w:rPr>
          <w:u w:color="0563C1"/>
        </w:rPr>
      </w:pPr>
      <w:r>
        <w:t>Adapted from SANS “Password Construction Guidelines”</w:t>
      </w:r>
      <w:r>
        <w:br/>
      </w:r>
      <w:r w:rsidR="00CB78B4">
        <w:rPr>
          <w:rFonts w:cstheme="minorHAnsi"/>
        </w:rPr>
        <w:t>(</w:t>
      </w:r>
      <w:hyperlink r:id="rId10" w:history="1">
        <w:r w:rsidR="00F661A4" w:rsidRPr="00A66525">
          <w:rPr>
            <w:rStyle w:val="Hyperlink"/>
            <w:rFonts w:cstheme="minorHAnsi"/>
          </w:rPr>
          <w:t>https://www.sans.org/security-resources/policies/general/pdf/password-construction-guidelines</w:t>
        </w:r>
      </w:hyperlink>
      <w:r w:rsidR="00F661A4">
        <w:rPr>
          <w:rFonts w:ascii="Segoe UI" w:hAnsi="Segoe UI" w:cs="Segoe UI"/>
          <w:color w:val="000000"/>
          <w:sz w:val="20"/>
          <w:szCs w:val="20"/>
        </w:rPr>
        <w:t xml:space="preserve">) </w:t>
      </w:r>
      <w:r>
        <w:rPr>
          <w:rFonts w:ascii="Segoe UI" w:hAnsi="Segoe UI" w:cs="Segoe UI"/>
          <w:color w:val="000000"/>
          <w:sz w:val="20"/>
          <w:szCs w:val="20"/>
        </w:rPr>
        <w:br/>
      </w:r>
    </w:p>
    <w:p w14:paraId="4B22FB00" w14:textId="32896138" w:rsidR="0079680C" w:rsidRDefault="0079680C" w:rsidP="0079680C">
      <w:pPr>
        <w:pStyle w:val="ListParagraph"/>
        <w:numPr>
          <w:ilvl w:val="0"/>
          <w:numId w:val="4"/>
        </w:numPr>
      </w:pPr>
      <w:r>
        <w:t>PCI DSS Requirements</w:t>
      </w:r>
      <w:r>
        <w:br/>
      </w:r>
      <w:r w:rsidR="00CB78B4">
        <w:rPr>
          <w:rFonts w:cstheme="minorHAnsi"/>
        </w:rPr>
        <w:t>(</w:t>
      </w:r>
      <w:hyperlink r:id="rId11" w:history="1">
        <w:r w:rsidR="00F661A4" w:rsidRPr="00A66525">
          <w:rPr>
            <w:rStyle w:val="Hyperlink"/>
            <w:rFonts w:cstheme="minorHAnsi"/>
          </w:rPr>
          <w:t>https://www.pcisecuritystandards.org/document_library</w:t>
        </w:r>
      </w:hyperlink>
      <w:r w:rsidR="00F661A4">
        <w:t xml:space="preserve">) </w:t>
      </w:r>
    </w:p>
    <w:p w14:paraId="18040266" w14:textId="77777777" w:rsidR="0079680C" w:rsidRDefault="0079680C" w:rsidP="00315BFB">
      <w:pPr>
        <w:pStyle w:val="Heading1"/>
        <w:ind w:left="360" w:hanging="360"/>
      </w:pPr>
      <w:r>
        <w:t>Governance Responsibilities</w:t>
      </w:r>
    </w:p>
    <w:p w14:paraId="6CDCBCE6" w14:textId="525A1257" w:rsidR="0079680C" w:rsidRDefault="00957D70">
      <w:r>
        <w:t>The ISP uses the RACI model for assigning responsibility.</w:t>
      </w:r>
    </w:p>
    <w:tbl>
      <w:tblPr>
        <w:tblStyle w:val="GridTable4-Accent21"/>
        <w:tblW w:w="0" w:type="auto"/>
        <w:tblLook w:val="04A0" w:firstRow="1" w:lastRow="0" w:firstColumn="1" w:lastColumn="0" w:noHBand="0" w:noVBand="1"/>
      </w:tblPr>
      <w:tblGrid>
        <w:gridCol w:w="2337"/>
        <w:gridCol w:w="2337"/>
        <w:gridCol w:w="2338"/>
        <w:gridCol w:w="2338"/>
      </w:tblGrid>
      <w:tr w:rsidR="0079680C" w14:paraId="4FB3C20D" w14:textId="77777777" w:rsidTr="00633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B47A615" w14:textId="77777777" w:rsidR="0079680C" w:rsidRDefault="0079680C" w:rsidP="00F77A7F">
            <w:pPr>
              <w:jc w:val="center"/>
            </w:pPr>
            <w:r w:rsidRPr="0098428F">
              <w:rPr>
                <w:b w:val="0"/>
              </w:rPr>
              <w:t>Responsible</w:t>
            </w:r>
          </w:p>
        </w:tc>
        <w:tc>
          <w:tcPr>
            <w:tcW w:w="2337" w:type="dxa"/>
          </w:tcPr>
          <w:p w14:paraId="36BB6E70" w14:textId="77777777" w:rsidR="0079680C" w:rsidRDefault="0079680C" w:rsidP="00F77A7F">
            <w:pPr>
              <w:jc w:val="center"/>
              <w:cnfStyle w:val="100000000000" w:firstRow="1" w:lastRow="0" w:firstColumn="0" w:lastColumn="0" w:oddVBand="0" w:evenVBand="0" w:oddHBand="0" w:evenHBand="0" w:firstRowFirstColumn="0" w:firstRowLastColumn="0" w:lastRowFirstColumn="0" w:lastRowLastColumn="0"/>
            </w:pPr>
            <w:r w:rsidRPr="0098428F">
              <w:rPr>
                <w:b w:val="0"/>
              </w:rPr>
              <w:t>Accountable</w:t>
            </w:r>
          </w:p>
        </w:tc>
        <w:tc>
          <w:tcPr>
            <w:tcW w:w="2338" w:type="dxa"/>
          </w:tcPr>
          <w:p w14:paraId="4F888D70" w14:textId="77777777" w:rsidR="0079680C" w:rsidRDefault="0079680C" w:rsidP="00F77A7F">
            <w:pPr>
              <w:jc w:val="center"/>
              <w:cnfStyle w:val="100000000000" w:firstRow="1" w:lastRow="0" w:firstColumn="0" w:lastColumn="0" w:oddVBand="0" w:evenVBand="0" w:oddHBand="0" w:evenHBand="0" w:firstRowFirstColumn="0" w:firstRowLastColumn="0" w:lastRowFirstColumn="0" w:lastRowLastColumn="0"/>
            </w:pPr>
            <w:r w:rsidRPr="0098428F">
              <w:rPr>
                <w:b w:val="0"/>
              </w:rPr>
              <w:t>Consulted</w:t>
            </w:r>
          </w:p>
        </w:tc>
        <w:tc>
          <w:tcPr>
            <w:tcW w:w="2338" w:type="dxa"/>
          </w:tcPr>
          <w:p w14:paraId="44A6D7DB" w14:textId="77777777" w:rsidR="0079680C" w:rsidRDefault="0079680C" w:rsidP="00F77A7F">
            <w:pPr>
              <w:jc w:val="center"/>
              <w:cnfStyle w:val="100000000000" w:firstRow="1" w:lastRow="0" w:firstColumn="0" w:lastColumn="0" w:oddVBand="0" w:evenVBand="0" w:oddHBand="0" w:evenHBand="0" w:firstRowFirstColumn="0" w:firstRowLastColumn="0" w:lastRowFirstColumn="0" w:lastRowLastColumn="0"/>
            </w:pPr>
            <w:r w:rsidRPr="0098428F">
              <w:rPr>
                <w:b w:val="0"/>
              </w:rPr>
              <w:t>Informed</w:t>
            </w:r>
          </w:p>
        </w:tc>
      </w:tr>
      <w:tr w:rsidR="0079680C" w14:paraId="0BEA8A74" w14:textId="77777777" w:rsidTr="00633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28503A" w14:textId="77777777" w:rsidR="0079680C" w:rsidRDefault="00633437" w:rsidP="00F77A7F">
            <w:pPr>
              <w:jc w:val="center"/>
            </w:pPr>
            <w:r>
              <w:br/>
              <w:t>IT Manager</w:t>
            </w:r>
            <w:r w:rsidR="0079680C">
              <w:br/>
            </w:r>
          </w:p>
        </w:tc>
        <w:tc>
          <w:tcPr>
            <w:tcW w:w="2337" w:type="dxa"/>
          </w:tcPr>
          <w:p w14:paraId="2B9AA34E" w14:textId="77777777" w:rsidR="0079680C" w:rsidRDefault="0079680C" w:rsidP="00F77A7F">
            <w:pPr>
              <w:jc w:val="center"/>
              <w:cnfStyle w:val="000000100000" w:firstRow="0" w:lastRow="0" w:firstColumn="0" w:lastColumn="0" w:oddVBand="0" w:evenVBand="0" w:oddHBand="1" w:evenHBand="0" w:firstRowFirstColumn="0" w:firstRowLastColumn="0" w:lastRowFirstColumn="0" w:lastRowLastColumn="0"/>
            </w:pPr>
          </w:p>
          <w:p w14:paraId="66779FD4" w14:textId="77777777" w:rsidR="0079680C" w:rsidRPr="00764189" w:rsidRDefault="0079680C" w:rsidP="00F77A7F">
            <w:pPr>
              <w:jc w:val="center"/>
              <w:cnfStyle w:val="000000100000" w:firstRow="0" w:lastRow="0" w:firstColumn="0" w:lastColumn="0" w:oddVBand="0" w:evenVBand="0" w:oddHBand="1" w:evenHBand="0" w:firstRowFirstColumn="0" w:firstRowLastColumn="0" w:lastRowFirstColumn="0" w:lastRowLastColumn="0"/>
              <w:rPr>
                <w:b/>
              </w:rPr>
            </w:pPr>
            <w:r>
              <w:rPr>
                <w:b/>
              </w:rPr>
              <w:t>CEO/GM</w:t>
            </w:r>
          </w:p>
        </w:tc>
        <w:tc>
          <w:tcPr>
            <w:tcW w:w="2338" w:type="dxa"/>
          </w:tcPr>
          <w:p w14:paraId="163B8693" w14:textId="77777777" w:rsidR="0079680C" w:rsidRDefault="0079680C" w:rsidP="00F77A7F">
            <w:pPr>
              <w:jc w:val="center"/>
              <w:cnfStyle w:val="000000100000" w:firstRow="0" w:lastRow="0" w:firstColumn="0" w:lastColumn="0" w:oddVBand="0" w:evenVBand="0" w:oddHBand="1" w:evenHBand="0" w:firstRowFirstColumn="0" w:firstRowLastColumn="0" w:lastRowFirstColumn="0" w:lastRowLastColumn="0"/>
            </w:pPr>
          </w:p>
          <w:p w14:paraId="04A660DD" w14:textId="77777777" w:rsidR="0079680C" w:rsidRPr="00764189" w:rsidRDefault="0079680C" w:rsidP="00F77A7F">
            <w:pPr>
              <w:jc w:val="center"/>
              <w:cnfStyle w:val="000000100000" w:firstRow="0" w:lastRow="0" w:firstColumn="0" w:lastColumn="0" w:oddVBand="0" w:evenVBand="0" w:oddHBand="1" w:evenHBand="0" w:firstRowFirstColumn="0" w:firstRowLastColumn="0" w:lastRowFirstColumn="0" w:lastRowLastColumn="0"/>
              <w:rPr>
                <w:b/>
              </w:rPr>
            </w:pPr>
            <w:r>
              <w:rPr>
                <w:b/>
              </w:rPr>
              <w:br/>
            </w:r>
          </w:p>
        </w:tc>
        <w:tc>
          <w:tcPr>
            <w:tcW w:w="2338" w:type="dxa"/>
          </w:tcPr>
          <w:p w14:paraId="7DDEBF3F" w14:textId="77777777" w:rsidR="0079680C" w:rsidRDefault="0079680C" w:rsidP="00F77A7F">
            <w:pPr>
              <w:jc w:val="center"/>
              <w:cnfStyle w:val="000000100000" w:firstRow="0" w:lastRow="0" w:firstColumn="0" w:lastColumn="0" w:oddVBand="0" w:evenVBand="0" w:oddHBand="1" w:evenHBand="0" w:firstRowFirstColumn="0" w:firstRowLastColumn="0" w:lastRowFirstColumn="0" w:lastRowLastColumn="0"/>
            </w:pPr>
          </w:p>
          <w:p w14:paraId="655BC03B" w14:textId="77777777" w:rsidR="0079680C" w:rsidRPr="00764189" w:rsidRDefault="0079680C" w:rsidP="00F77A7F">
            <w:pPr>
              <w:jc w:val="center"/>
              <w:cnfStyle w:val="000000100000" w:firstRow="0" w:lastRow="0" w:firstColumn="0" w:lastColumn="0" w:oddVBand="0" w:evenVBand="0" w:oddHBand="1" w:evenHBand="0" w:firstRowFirstColumn="0" w:firstRowLastColumn="0" w:lastRowFirstColumn="0" w:lastRowLastColumn="0"/>
              <w:rPr>
                <w:b/>
              </w:rPr>
            </w:pPr>
            <w:r w:rsidRPr="00764189">
              <w:rPr>
                <w:b/>
              </w:rPr>
              <w:t>All Employees</w:t>
            </w:r>
          </w:p>
        </w:tc>
      </w:tr>
    </w:tbl>
    <w:p w14:paraId="3FCE30A6" w14:textId="2CEE9B4A" w:rsidR="0079680C" w:rsidRPr="005B13D6" w:rsidRDefault="0079680C" w:rsidP="00F77A7F">
      <w:pPr>
        <w:ind w:left="1080"/>
        <w:rPr>
          <w:i/>
          <w:color w:val="0070C0"/>
        </w:rPr>
      </w:pPr>
      <w:r w:rsidRPr="005B13D6">
        <w:rPr>
          <w:i/>
          <w:color w:val="0070C0"/>
        </w:rPr>
        <w:t xml:space="preserve">[Explanatory Note:  </w:t>
      </w:r>
      <w:r w:rsidR="00465FD7">
        <w:rPr>
          <w:i/>
          <w:color w:val="0070C0"/>
        </w:rPr>
        <w:t>&lt;Utility Name&gt;</w:t>
      </w:r>
      <w:r w:rsidRPr="005B13D6">
        <w:rPr>
          <w:i/>
          <w:color w:val="0070C0"/>
        </w:rPr>
        <w:t xml:space="preserve"> should feel free to alter section to reflect the specific responsibility requirement determined by </w:t>
      </w:r>
      <w:r w:rsidR="00465FD7">
        <w:rPr>
          <w:i/>
          <w:color w:val="0070C0"/>
        </w:rPr>
        <w:t>&lt;Utility Name&gt; management</w:t>
      </w:r>
      <w:r w:rsidRPr="005B13D6">
        <w:rPr>
          <w:i/>
          <w:color w:val="0070C0"/>
        </w:rPr>
        <w:t>.]</w:t>
      </w:r>
    </w:p>
    <w:p w14:paraId="642D2618" w14:textId="77777777" w:rsidR="0079680C" w:rsidRDefault="0079680C" w:rsidP="00315BFB">
      <w:pPr>
        <w:pStyle w:val="Heading1"/>
        <w:ind w:left="360" w:hanging="360"/>
      </w:pPr>
      <w:r>
        <w:t>Approval</w:t>
      </w:r>
    </w:p>
    <w:p w14:paraId="331B6619" w14:textId="77777777" w:rsidR="0079680C" w:rsidRDefault="0079680C" w:rsidP="00F77A7F">
      <w:pPr>
        <w:spacing w:after="0" w:line="240" w:lineRule="auto"/>
      </w:pPr>
    </w:p>
    <w:p w14:paraId="3D289ED4" w14:textId="77777777" w:rsidR="0079680C" w:rsidRDefault="0079680C" w:rsidP="00F77A7F">
      <w:pPr>
        <w:spacing w:after="0" w:line="240" w:lineRule="auto"/>
      </w:pPr>
      <w:r>
        <w:rPr>
          <w:u w:val="single"/>
        </w:rPr>
        <w:t>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14:paraId="5A620B5F" w14:textId="77777777" w:rsidR="0079680C" w:rsidRDefault="0079680C" w:rsidP="00F77A7F">
      <w:pPr>
        <w:spacing w:after="0" w:line="240" w:lineRule="auto"/>
      </w:pPr>
      <w:r w:rsidRPr="00520174">
        <w:rPr>
          <w:color w:val="FF0000"/>
        </w:rPr>
        <w:t>&lt;</w:t>
      </w:r>
      <w:r w:rsidRPr="00520174">
        <w:rPr>
          <w:b/>
          <w:color w:val="FF0000"/>
        </w:rPr>
        <w:t>Insert title of approver</w:t>
      </w:r>
      <w:r w:rsidRPr="00520174">
        <w:rPr>
          <w:color w:val="FF0000"/>
        </w:rPr>
        <w:t>&gt;</w:t>
      </w:r>
      <w:r>
        <w:tab/>
      </w:r>
      <w:r>
        <w:tab/>
      </w:r>
      <w:r>
        <w:tab/>
      </w:r>
      <w:r>
        <w:tab/>
      </w:r>
      <w:r>
        <w:tab/>
      </w:r>
      <w:r>
        <w:tab/>
        <w:t>Date</w:t>
      </w:r>
    </w:p>
    <w:p w14:paraId="7E5B2BFA" w14:textId="77777777" w:rsidR="0079680C" w:rsidRDefault="0079680C" w:rsidP="00F77A7F">
      <w:pPr>
        <w:spacing w:after="0" w:line="240" w:lineRule="auto"/>
      </w:pPr>
    </w:p>
    <w:p w14:paraId="0AB30850" w14:textId="77777777" w:rsidR="0079680C" w:rsidRDefault="0079680C" w:rsidP="00315BFB">
      <w:pPr>
        <w:pStyle w:val="Heading1"/>
        <w:ind w:left="360" w:hanging="360"/>
      </w:pPr>
      <w:r>
        <w:t>Revision History</w:t>
      </w:r>
    </w:p>
    <w:tbl>
      <w:tblPr>
        <w:tblStyle w:val="TableGrid"/>
        <w:tblW w:w="9350" w:type="dxa"/>
        <w:tblInd w:w="468" w:type="dxa"/>
        <w:tblLook w:val="04A0" w:firstRow="1" w:lastRow="0" w:firstColumn="1" w:lastColumn="0" w:noHBand="0" w:noVBand="1"/>
      </w:tblPr>
      <w:tblGrid>
        <w:gridCol w:w="1975"/>
        <w:gridCol w:w="1980"/>
        <w:gridCol w:w="5395"/>
      </w:tblGrid>
      <w:tr w:rsidR="0079680C" w14:paraId="012BBF13" w14:textId="77777777" w:rsidTr="00F77A7F">
        <w:tc>
          <w:tcPr>
            <w:tcW w:w="1975" w:type="dxa"/>
          </w:tcPr>
          <w:p w14:paraId="1152AD85" w14:textId="77777777" w:rsidR="0079680C" w:rsidRDefault="0079680C" w:rsidP="00F77A7F">
            <w:r>
              <w:t>Date of Change(s)</w:t>
            </w:r>
          </w:p>
        </w:tc>
        <w:tc>
          <w:tcPr>
            <w:tcW w:w="1980" w:type="dxa"/>
          </w:tcPr>
          <w:p w14:paraId="2BD79398" w14:textId="77777777" w:rsidR="0079680C" w:rsidRDefault="0079680C" w:rsidP="00F77A7F">
            <w:r>
              <w:t>Revised by</w:t>
            </w:r>
          </w:p>
        </w:tc>
        <w:tc>
          <w:tcPr>
            <w:tcW w:w="5395" w:type="dxa"/>
          </w:tcPr>
          <w:p w14:paraId="0846049D" w14:textId="77777777" w:rsidR="0079680C" w:rsidRDefault="0079680C" w:rsidP="00F77A7F">
            <w:r>
              <w:t>Summary of Change(s)</w:t>
            </w:r>
          </w:p>
        </w:tc>
      </w:tr>
      <w:tr w:rsidR="0079680C" w14:paraId="3CA77773" w14:textId="77777777" w:rsidTr="00F77A7F">
        <w:tc>
          <w:tcPr>
            <w:tcW w:w="1975" w:type="dxa"/>
          </w:tcPr>
          <w:p w14:paraId="064DECAF" w14:textId="77777777" w:rsidR="0079680C" w:rsidRDefault="0079680C" w:rsidP="00F77A7F"/>
        </w:tc>
        <w:tc>
          <w:tcPr>
            <w:tcW w:w="1980" w:type="dxa"/>
          </w:tcPr>
          <w:p w14:paraId="767DB290" w14:textId="77777777" w:rsidR="0079680C" w:rsidRDefault="0079680C" w:rsidP="00F77A7F"/>
        </w:tc>
        <w:tc>
          <w:tcPr>
            <w:tcW w:w="5395" w:type="dxa"/>
          </w:tcPr>
          <w:p w14:paraId="4F384477" w14:textId="77777777" w:rsidR="0079680C" w:rsidRDefault="0079680C" w:rsidP="00F77A7F"/>
        </w:tc>
      </w:tr>
      <w:tr w:rsidR="0079680C" w14:paraId="240022B5" w14:textId="77777777" w:rsidTr="00F77A7F">
        <w:tc>
          <w:tcPr>
            <w:tcW w:w="1975" w:type="dxa"/>
          </w:tcPr>
          <w:p w14:paraId="7F9E5808" w14:textId="77777777" w:rsidR="0079680C" w:rsidRDefault="0079680C" w:rsidP="00F77A7F"/>
        </w:tc>
        <w:tc>
          <w:tcPr>
            <w:tcW w:w="1980" w:type="dxa"/>
          </w:tcPr>
          <w:p w14:paraId="78A42244" w14:textId="77777777" w:rsidR="0079680C" w:rsidRDefault="0079680C" w:rsidP="00F77A7F"/>
        </w:tc>
        <w:tc>
          <w:tcPr>
            <w:tcW w:w="5395" w:type="dxa"/>
          </w:tcPr>
          <w:p w14:paraId="4BC3722E" w14:textId="77777777" w:rsidR="0079680C" w:rsidRDefault="0079680C" w:rsidP="00F77A7F"/>
        </w:tc>
      </w:tr>
      <w:tr w:rsidR="0079680C" w14:paraId="1FE48608" w14:textId="77777777" w:rsidTr="00F77A7F">
        <w:tc>
          <w:tcPr>
            <w:tcW w:w="1975" w:type="dxa"/>
          </w:tcPr>
          <w:p w14:paraId="344044FC" w14:textId="77777777" w:rsidR="0079680C" w:rsidRDefault="0079680C" w:rsidP="00F77A7F"/>
        </w:tc>
        <w:tc>
          <w:tcPr>
            <w:tcW w:w="1980" w:type="dxa"/>
          </w:tcPr>
          <w:p w14:paraId="20A3391D" w14:textId="77777777" w:rsidR="0079680C" w:rsidRDefault="0079680C" w:rsidP="00F77A7F"/>
        </w:tc>
        <w:tc>
          <w:tcPr>
            <w:tcW w:w="5395" w:type="dxa"/>
          </w:tcPr>
          <w:p w14:paraId="30D2BE8A" w14:textId="77777777" w:rsidR="0079680C" w:rsidRDefault="0079680C" w:rsidP="00F77A7F"/>
        </w:tc>
      </w:tr>
      <w:tr w:rsidR="0079680C" w14:paraId="741238DE" w14:textId="77777777" w:rsidTr="00F77A7F">
        <w:tc>
          <w:tcPr>
            <w:tcW w:w="1975" w:type="dxa"/>
          </w:tcPr>
          <w:p w14:paraId="1CF6A8D7" w14:textId="77777777" w:rsidR="0079680C" w:rsidRDefault="0079680C" w:rsidP="00F77A7F"/>
        </w:tc>
        <w:tc>
          <w:tcPr>
            <w:tcW w:w="1980" w:type="dxa"/>
          </w:tcPr>
          <w:p w14:paraId="3DB801F8" w14:textId="77777777" w:rsidR="0079680C" w:rsidRDefault="0079680C" w:rsidP="00F77A7F"/>
        </w:tc>
        <w:tc>
          <w:tcPr>
            <w:tcW w:w="5395" w:type="dxa"/>
          </w:tcPr>
          <w:p w14:paraId="573053F8" w14:textId="77777777" w:rsidR="0079680C" w:rsidRDefault="0079680C" w:rsidP="00F77A7F"/>
        </w:tc>
      </w:tr>
    </w:tbl>
    <w:p w14:paraId="7A1C8C70" w14:textId="77777777" w:rsidR="0079680C" w:rsidRDefault="0079680C" w:rsidP="00F77A7F"/>
    <w:p w14:paraId="3444A531" w14:textId="77777777" w:rsidR="0079680C" w:rsidRPr="00F15830" w:rsidRDefault="0079680C" w:rsidP="00F77A7F"/>
    <w:p w14:paraId="4882100F" w14:textId="77777777" w:rsidR="0079680C" w:rsidRDefault="0079680C">
      <w:r>
        <w:br w:type="page"/>
      </w:r>
    </w:p>
    <w:sectPr w:rsidR="0079680C" w:rsidSect="00E6322B">
      <w:headerReference w:type="even" r:id="rId12"/>
      <w:headerReference w:type="default" r:id="rId13"/>
      <w:footerReference w:type="even"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664719" w:rsidRDefault="00664719" w:rsidP="005D535C">
      <w:pPr>
        <w:spacing w:after="0" w:line="240" w:lineRule="auto"/>
      </w:pPr>
      <w:r>
        <w:separator/>
      </w:r>
    </w:p>
  </w:endnote>
  <w:endnote w:type="continuationSeparator" w:id="0">
    <w:p w14:paraId="4C2CE802" w14:textId="77777777" w:rsidR="00664719" w:rsidRDefault="00664719"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147376B6" w:rsidR="00664719" w:rsidRDefault="00664719">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E6322B">
      <w:rPr>
        <w:rFonts w:eastAsiaTheme="minorEastAsia"/>
      </w:rPr>
      <w:t>_____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664719" w:rsidRDefault="006647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3F16EBDF" w:rsidR="00664719" w:rsidRDefault="00664719">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E6322B">
      <w:rPr>
        <w:rFonts w:asciiTheme="majorHAnsi" w:eastAsiaTheme="majorEastAsia" w:hAnsiTheme="majorHAnsi" w:cstheme="majorBidi"/>
      </w:rPr>
      <w:t>_____</w:t>
    </w:r>
  </w:p>
  <w:p w14:paraId="03EC890F" w14:textId="77777777" w:rsidR="00664719" w:rsidRDefault="006647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664719" w:rsidRDefault="00664719" w:rsidP="005D535C">
      <w:pPr>
        <w:spacing w:after="0" w:line="240" w:lineRule="auto"/>
      </w:pPr>
      <w:r>
        <w:separator/>
      </w:r>
    </w:p>
  </w:footnote>
  <w:footnote w:type="continuationSeparator" w:id="0">
    <w:p w14:paraId="568D1515" w14:textId="77777777" w:rsidR="00664719" w:rsidRDefault="00664719"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664719" w:rsidRPr="00CB4F25" w:rsidRDefault="00664719"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664719" w:rsidRDefault="00664719"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B6C42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9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71CE"/>
    <w:rsid w:val="00013F53"/>
    <w:rsid w:val="000158B8"/>
    <w:rsid w:val="00020620"/>
    <w:rsid w:val="00021B04"/>
    <w:rsid w:val="00030562"/>
    <w:rsid w:val="00035AE0"/>
    <w:rsid w:val="0004200E"/>
    <w:rsid w:val="000449B0"/>
    <w:rsid w:val="0004689D"/>
    <w:rsid w:val="00052899"/>
    <w:rsid w:val="000620F4"/>
    <w:rsid w:val="00067F62"/>
    <w:rsid w:val="000732FD"/>
    <w:rsid w:val="000829FA"/>
    <w:rsid w:val="000847A6"/>
    <w:rsid w:val="000848C5"/>
    <w:rsid w:val="000862DD"/>
    <w:rsid w:val="000878EB"/>
    <w:rsid w:val="000907B2"/>
    <w:rsid w:val="00091269"/>
    <w:rsid w:val="000A3645"/>
    <w:rsid w:val="000A45BE"/>
    <w:rsid w:val="000C2579"/>
    <w:rsid w:val="000C2A99"/>
    <w:rsid w:val="000C4F76"/>
    <w:rsid w:val="000D15B9"/>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E53"/>
    <w:rsid w:val="001346DE"/>
    <w:rsid w:val="00137ADF"/>
    <w:rsid w:val="00143B21"/>
    <w:rsid w:val="001451F5"/>
    <w:rsid w:val="001532E9"/>
    <w:rsid w:val="00160836"/>
    <w:rsid w:val="00167C57"/>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1132"/>
    <w:rsid w:val="001C2948"/>
    <w:rsid w:val="001C356C"/>
    <w:rsid w:val="001D4250"/>
    <w:rsid w:val="001D6CD7"/>
    <w:rsid w:val="001E6213"/>
    <w:rsid w:val="001E6D56"/>
    <w:rsid w:val="001F0B59"/>
    <w:rsid w:val="001F1334"/>
    <w:rsid w:val="001F1FCB"/>
    <w:rsid w:val="001F63A3"/>
    <w:rsid w:val="00204383"/>
    <w:rsid w:val="00204F3A"/>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51701"/>
    <w:rsid w:val="0025177B"/>
    <w:rsid w:val="00252D80"/>
    <w:rsid w:val="002554FE"/>
    <w:rsid w:val="00257110"/>
    <w:rsid w:val="002575CF"/>
    <w:rsid w:val="00257772"/>
    <w:rsid w:val="0026109F"/>
    <w:rsid w:val="0026327E"/>
    <w:rsid w:val="002744BF"/>
    <w:rsid w:val="00274523"/>
    <w:rsid w:val="00274A32"/>
    <w:rsid w:val="00277167"/>
    <w:rsid w:val="0029050B"/>
    <w:rsid w:val="002936C3"/>
    <w:rsid w:val="002A1757"/>
    <w:rsid w:val="002A4213"/>
    <w:rsid w:val="002A64BF"/>
    <w:rsid w:val="002B0561"/>
    <w:rsid w:val="002B07B3"/>
    <w:rsid w:val="002B4688"/>
    <w:rsid w:val="002B6280"/>
    <w:rsid w:val="002C1B05"/>
    <w:rsid w:val="002C2222"/>
    <w:rsid w:val="002C61CB"/>
    <w:rsid w:val="002D1C3B"/>
    <w:rsid w:val="002D3ED0"/>
    <w:rsid w:val="002D5887"/>
    <w:rsid w:val="002D5B72"/>
    <w:rsid w:val="002D651F"/>
    <w:rsid w:val="002E185C"/>
    <w:rsid w:val="002F1FBE"/>
    <w:rsid w:val="002F5E00"/>
    <w:rsid w:val="00305105"/>
    <w:rsid w:val="0031117A"/>
    <w:rsid w:val="00314755"/>
    <w:rsid w:val="003155C2"/>
    <w:rsid w:val="00315BFB"/>
    <w:rsid w:val="00323998"/>
    <w:rsid w:val="0032633C"/>
    <w:rsid w:val="003333D3"/>
    <w:rsid w:val="00334862"/>
    <w:rsid w:val="00345B95"/>
    <w:rsid w:val="0034623A"/>
    <w:rsid w:val="003543C5"/>
    <w:rsid w:val="00354C89"/>
    <w:rsid w:val="0037120D"/>
    <w:rsid w:val="00372D26"/>
    <w:rsid w:val="00375B19"/>
    <w:rsid w:val="00377F30"/>
    <w:rsid w:val="00394076"/>
    <w:rsid w:val="0039733E"/>
    <w:rsid w:val="003A113E"/>
    <w:rsid w:val="003A27D9"/>
    <w:rsid w:val="003A401A"/>
    <w:rsid w:val="003A683D"/>
    <w:rsid w:val="003A7494"/>
    <w:rsid w:val="003B3F44"/>
    <w:rsid w:val="003B764F"/>
    <w:rsid w:val="003D0186"/>
    <w:rsid w:val="003D52F4"/>
    <w:rsid w:val="003D6B7E"/>
    <w:rsid w:val="003E1B62"/>
    <w:rsid w:val="00401367"/>
    <w:rsid w:val="00405046"/>
    <w:rsid w:val="00411A57"/>
    <w:rsid w:val="00420B9A"/>
    <w:rsid w:val="00422998"/>
    <w:rsid w:val="00423084"/>
    <w:rsid w:val="004256C6"/>
    <w:rsid w:val="00434F3A"/>
    <w:rsid w:val="004418FB"/>
    <w:rsid w:val="00447B6E"/>
    <w:rsid w:val="0045201A"/>
    <w:rsid w:val="004523D8"/>
    <w:rsid w:val="00461DDB"/>
    <w:rsid w:val="00462035"/>
    <w:rsid w:val="00462F76"/>
    <w:rsid w:val="00465FD7"/>
    <w:rsid w:val="00466DEB"/>
    <w:rsid w:val="00470382"/>
    <w:rsid w:val="004729EC"/>
    <w:rsid w:val="00474282"/>
    <w:rsid w:val="00475F01"/>
    <w:rsid w:val="00477B11"/>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E4F3B"/>
    <w:rsid w:val="004E5BF4"/>
    <w:rsid w:val="004E7E17"/>
    <w:rsid w:val="004F2392"/>
    <w:rsid w:val="004F2F24"/>
    <w:rsid w:val="004F462F"/>
    <w:rsid w:val="004F7667"/>
    <w:rsid w:val="005024E2"/>
    <w:rsid w:val="0050505D"/>
    <w:rsid w:val="005114DF"/>
    <w:rsid w:val="00511B89"/>
    <w:rsid w:val="005312E3"/>
    <w:rsid w:val="00531476"/>
    <w:rsid w:val="00533CF3"/>
    <w:rsid w:val="00535BB7"/>
    <w:rsid w:val="00543405"/>
    <w:rsid w:val="00543C9C"/>
    <w:rsid w:val="00545A1C"/>
    <w:rsid w:val="005479C7"/>
    <w:rsid w:val="005507F8"/>
    <w:rsid w:val="005511E4"/>
    <w:rsid w:val="0055151F"/>
    <w:rsid w:val="00557F06"/>
    <w:rsid w:val="00564916"/>
    <w:rsid w:val="00581FC1"/>
    <w:rsid w:val="00593FDE"/>
    <w:rsid w:val="005A6D38"/>
    <w:rsid w:val="005B24C6"/>
    <w:rsid w:val="005B3714"/>
    <w:rsid w:val="005B79C1"/>
    <w:rsid w:val="005C22FB"/>
    <w:rsid w:val="005C268C"/>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5C90"/>
    <w:rsid w:val="00651706"/>
    <w:rsid w:val="00656B6C"/>
    <w:rsid w:val="00662807"/>
    <w:rsid w:val="00664719"/>
    <w:rsid w:val="00664866"/>
    <w:rsid w:val="0066621E"/>
    <w:rsid w:val="0067514E"/>
    <w:rsid w:val="00676061"/>
    <w:rsid w:val="00677CBB"/>
    <w:rsid w:val="0068431A"/>
    <w:rsid w:val="0069168A"/>
    <w:rsid w:val="006B0905"/>
    <w:rsid w:val="006B1DC4"/>
    <w:rsid w:val="006B2A16"/>
    <w:rsid w:val="006B73C7"/>
    <w:rsid w:val="006B7D20"/>
    <w:rsid w:val="006C5D37"/>
    <w:rsid w:val="006C7775"/>
    <w:rsid w:val="006D327A"/>
    <w:rsid w:val="006D7F1A"/>
    <w:rsid w:val="006E024E"/>
    <w:rsid w:val="006E42E7"/>
    <w:rsid w:val="006F290C"/>
    <w:rsid w:val="0070169B"/>
    <w:rsid w:val="00704532"/>
    <w:rsid w:val="00705C28"/>
    <w:rsid w:val="00707D72"/>
    <w:rsid w:val="0071257C"/>
    <w:rsid w:val="00720B8F"/>
    <w:rsid w:val="00721F8F"/>
    <w:rsid w:val="00722B7A"/>
    <w:rsid w:val="00734A04"/>
    <w:rsid w:val="00740923"/>
    <w:rsid w:val="00741B49"/>
    <w:rsid w:val="007451E9"/>
    <w:rsid w:val="00745B4D"/>
    <w:rsid w:val="007464F5"/>
    <w:rsid w:val="0075471D"/>
    <w:rsid w:val="007555F8"/>
    <w:rsid w:val="007615BE"/>
    <w:rsid w:val="00771626"/>
    <w:rsid w:val="00771ABE"/>
    <w:rsid w:val="00776EEF"/>
    <w:rsid w:val="00781229"/>
    <w:rsid w:val="007827EF"/>
    <w:rsid w:val="00787DE8"/>
    <w:rsid w:val="00791FD9"/>
    <w:rsid w:val="0079680C"/>
    <w:rsid w:val="00797EB0"/>
    <w:rsid w:val="007A0599"/>
    <w:rsid w:val="007A2B91"/>
    <w:rsid w:val="007A3B14"/>
    <w:rsid w:val="007A4261"/>
    <w:rsid w:val="007A6C31"/>
    <w:rsid w:val="007A7931"/>
    <w:rsid w:val="007C3FD9"/>
    <w:rsid w:val="007C4EC1"/>
    <w:rsid w:val="007D0BF4"/>
    <w:rsid w:val="007D35A1"/>
    <w:rsid w:val="007D410C"/>
    <w:rsid w:val="007E17F2"/>
    <w:rsid w:val="007E2E91"/>
    <w:rsid w:val="007F4E93"/>
    <w:rsid w:val="007F519A"/>
    <w:rsid w:val="007F62CF"/>
    <w:rsid w:val="007F72A3"/>
    <w:rsid w:val="00804400"/>
    <w:rsid w:val="0080450A"/>
    <w:rsid w:val="0080653C"/>
    <w:rsid w:val="00807B2C"/>
    <w:rsid w:val="00811684"/>
    <w:rsid w:val="00811ADE"/>
    <w:rsid w:val="008169EB"/>
    <w:rsid w:val="00820325"/>
    <w:rsid w:val="008232AF"/>
    <w:rsid w:val="00825392"/>
    <w:rsid w:val="00831107"/>
    <w:rsid w:val="008418FA"/>
    <w:rsid w:val="0084406F"/>
    <w:rsid w:val="00846212"/>
    <w:rsid w:val="0085073D"/>
    <w:rsid w:val="00852133"/>
    <w:rsid w:val="008547D8"/>
    <w:rsid w:val="00855396"/>
    <w:rsid w:val="008667F9"/>
    <w:rsid w:val="00867347"/>
    <w:rsid w:val="008734F6"/>
    <w:rsid w:val="008736FF"/>
    <w:rsid w:val="00873A83"/>
    <w:rsid w:val="008742D2"/>
    <w:rsid w:val="00876AB1"/>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12867"/>
    <w:rsid w:val="00917C55"/>
    <w:rsid w:val="00925BB6"/>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0A"/>
    <w:rsid w:val="009A42A7"/>
    <w:rsid w:val="009A61C4"/>
    <w:rsid w:val="009A73AE"/>
    <w:rsid w:val="009B1CEB"/>
    <w:rsid w:val="009B3378"/>
    <w:rsid w:val="009B5CED"/>
    <w:rsid w:val="009C17EF"/>
    <w:rsid w:val="009C2AD5"/>
    <w:rsid w:val="009C37EF"/>
    <w:rsid w:val="009C5BFE"/>
    <w:rsid w:val="009C6476"/>
    <w:rsid w:val="009C6B09"/>
    <w:rsid w:val="009D1C3B"/>
    <w:rsid w:val="009D448A"/>
    <w:rsid w:val="009D7873"/>
    <w:rsid w:val="009E0BD3"/>
    <w:rsid w:val="009E7E03"/>
    <w:rsid w:val="009F373F"/>
    <w:rsid w:val="009F3ABA"/>
    <w:rsid w:val="009F3F12"/>
    <w:rsid w:val="009F47AA"/>
    <w:rsid w:val="009F47CC"/>
    <w:rsid w:val="00A0566B"/>
    <w:rsid w:val="00A07ED4"/>
    <w:rsid w:val="00A114AE"/>
    <w:rsid w:val="00A20285"/>
    <w:rsid w:val="00A27A2C"/>
    <w:rsid w:val="00A33FD8"/>
    <w:rsid w:val="00A37F0C"/>
    <w:rsid w:val="00A42B37"/>
    <w:rsid w:val="00A439A2"/>
    <w:rsid w:val="00A51D05"/>
    <w:rsid w:val="00A51E9C"/>
    <w:rsid w:val="00A5211A"/>
    <w:rsid w:val="00A56AF0"/>
    <w:rsid w:val="00A602EE"/>
    <w:rsid w:val="00A71887"/>
    <w:rsid w:val="00A75F16"/>
    <w:rsid w:val="00A77DBA"/>
    <w:rsid w:val="00A818AC"/>
    <w:rsid w:val="00A82083"/>
    <w:rsid w:val="00A846E5"/>
    <w:rsid w:val="00A854C1"/>
    <w:rsid w:val="00A905C8"/>
    <w:rsid w:val="00A90792"/>
    <w:rsid w:val="00A942F5"/>
    <w:rsid w:val="00A953A9"/>
    <w:rsid w:val="00AA2472"/>
    <w:rsid w:val="00AA7C33"/>
    <w:rsid w:val="00AB761A"/>
    <w:rsid w:val="00AC7863"/>
    <w:rsid w:val="00AC7C1E"/>
    <w:rsid w:val="00AD040C"/>
    <w:rsid w:val="00AD0AE9"/>
    <w:rsid w:val="00AD42A5"/>
    <w:rsid w:val="00AD4FC5"/>
    <w:rsid w:val="00AD50F1"/>
    <w:rsid w:val="00AF1D9D"/>
    <w:rsid w:val="00AF3638"/>
    <w:rsid w:val="00AF6E32"/>
    <w:rsid w:val="00B00B52"/>
    <w:rsid w:val="00B03290"/>
    <w:rsid w:val="00B03ADC"/>
    <w:rsid w:val="00B06DB2"/>
    <w:rsid w:val="00B1199B"/>
    <w:rsid w:val="00B17806"/>
    <w:rsid w:val="00B2264B"/>
    <w:rsid w:val="00B26FCA"/>
    <w:rsid w:val="00B5131F"/>
    <w:rsid w:val="00B56E1D"/>
    <w:rsid w:val="00B577D2"/>
    <w:rsid w:val="00B657EC"/>
    <w:rsid w:val="00B66C2B"/>
    <w:rsid w:val="00B66C8C"/>
    <w:rsid w:val="00B66DAE"/>
    <w:rsid w:val="00B70BF8"/>
    <w:rsid w:val="00B71E82"/>
    <w:rsid w:val="00B74454"/>
    <w:rsid w:val="00B850CD"/>
    <w:rsid w:val="00B946E6"/>
    <w:rsid w:val="00B97E6E"/>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C155A6"/>
    <w:rsid w:val="00C1660B"/>
    <w:rsid w:val="00C3074A"/>
    <w:rsid w:val="00C40316"/>
    <w:rsid w:val="00C42C6A"/>
    <w:rsid w:val="00C52F54"/>
    <w:rsid w:val="00C77DE0"/>
    <w:rsid w:val="00C81CB1"/>
    <w:rsid w:val="00C825FF"/>
    <w:rsid w:val="00C90625"/>
    <w:rsid w:val="00C914EB"/>
    <w:rsid w:val="00C95C5A"/>
    <w:rsid w:val="00CA099E"/>
    <w:rsid w:val="00CA636E"/>
    <w:rsid w:val="00CB4F25"/>
    <w:rsid w:val="00CB78B4"/>
    <w:rsid w:val="00CC049E"/>
    <w:rsid w:val="00CC5DFA"/>
    <w:rsid w:val="00CD6EF1"/>
    <w:rsid w:val="00CD7E2A"/>
    <w:rsid w:val="00CF04A3"/>
    <w:rsid w:val="00CF072A"/>
    <w:rsid w:val="00D03195"/>
    <w:rsid w:val="00D060F4"/>
    <w:rsid w:val="00D10C98"/>
    <w:rsid w:val="00D13CF0"/>
    <w:rsid w:val="00D15669"/>
    <w:rsid w:val="00D21C36"/>
    <w:rsid w:val="00D343CA"/>
    <w:rsid w:val="00D345CD"/>
    <w:rsid w:val="00D436B6"/>
    <w:rsid w:val="00D512A2"/>
    <w:rsid w:val="00D564AF"/>
    <w:rsid w:val="00D60842"/>
    <w:rsid w:val="00D62435"/>
    <w:rsid w:val="00D6727D"/>
    <w:rsid w:val="00D752CA"/>
    <w:rsid w:val="00D76214"/>
    <w:rsid w:val="00D76ACE"/>
    <w:rsid w:val="00D85223"/>
    <w:rsid w:val="00D93FB0"/>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7369"/>
    <w:rsid w:val="00E20541"/>
    <w:rsid w:val="00E21609"/>
    <w:rsid w:val="00E25BC6"/>
    <w:rsid w:val="00E31DF9"/>
    <w:rsid w:val="00E4236A"/>
    <w:rsid w:val="00E508C9"/>
    <w:rsid w:val="00E51061"/>
    <w:rsid w:val="00E555DB"/>
    <w:rsid w:val="00E556A1"/>
    <w:rsid w:val="00E60E2C"/>
    <w:rsid w:val="00E613AF"/>
    <w:rsid w:val="00E6322B"/>
    <w:rsid w:val="00E63F4A"/>
    <w:rsid w:val="00E641A4"/>
    <w:rsid w:val="00E70BFD"/>
    <w:rsid w:val="00E727CD"/>
    <w:rsid w:val="00E73CF2"/>
    <w:rsid w:val="00E74849"/>
    <w:rsid w:val="00E823C5"/>
    <w:rsid w:val="00E8301C"/>
    <w:rsid w:val="00E92F6F"/>
    <w:rsid w:val="00EB268E"/>
    <w:rsid w:val="00EB656D"/>
    <w:rsid w:val="00EB6ACB"/>
    <w:rsid w:val="00EB78C4"/>
    <w:rsid w:val="00EC0476"/>
    <w:rsid w:val="00EC2921"/>
    <w:rsid w:val="00ED0F09"/>
    <w:rsid w:val="00ED4169"/>
    <w:rsid w:val="00ED4B12"/>
    <w:rsid w:val="00EE1938"/>
    <w:rsid w:val="00EE4046"/>
    <w:rsid w:val="00EE4121"/>
    <w:rsid w:val="00EF7E82"/>
    <w:rsid w:val="00F016B0"/>
    <w:rsid w:val="00F12150"/>
    <w:rsid w:val="00F1652D"/>
    <w:rsid w:val="00F22ABB"/>
    <w:rsid w:val="00F22EB8"/>
    <w:rsid w:val="00F23216"/>
    <w:rsid w:val="00F25288"/>
    <w:rsid w:val="00F300D0"/>
    <w:rsid w:val="00F30C76"/>
    <w:rsid w:val="00F463FE"/>
    <w:rsid w:val="00F531E1"/>
    <w:rsid w:val="00F661A4"/>
    <w:rsid w:val="00F71ADC"/>
    <w:rsid w:val="00F7443C"/>
    <w:rsid w:val="00F763A5"/>
    <w:rsid w:val="00F7664B"/>
    <w:rsid w:val="00F77A7F"/>
    <w:rsid w:val="00F82B14"/>
    <w:rsid w:val="00F85C77"/>
    <w:rsid w:val="00F95C2D"/>
    <w:rsid w:val="00F9704A"/>
    <w:rsid w:val="00FA01AB"/>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420B9A"/>
    <w:pPr>
      <w:keepNext/>
      <w:keepLines/>
      <w:numPr>
        <w:ilvl w:val="2"/>
        <w:numId w:val="5"/>
      </w:numPr>
      <w:spacing w:before="40" w:after="0" w:line="259" w:lineRule="auto"/>
      <w:outlineLvl w:val="2"/>
    </w:pPr>
    <w:rPr>
      <w:rFonts w:asciiTheme="majorHAnsi" w:eastAsiaTheme="majorEastAsia" w:hAnsiTheme="majorHAnsi" w:cstheme="majorBidi"/>
      <w:color w:val="224E76" w:themeColor="accent1" w:themeShade="7F"/>
      <w:sz w:val="24"/>
      <w:szCs w:val="24"/>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420B9A"/>
    <w:rPr>
      <w:rFonts w:asciiTheme="majorHAnsi" w:eastAsiaTheme="majorEastAsia" w:hAnsiTheme="majorHAnsi" w:cstheme="majorBidi"/>
      <w:color w:val="224E76" w:themeColor="accent1" w:themeShade="7F"/>
      <w:sz w:val="24"/>
      <w:szCs w:val="24"/>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cisecuritystandards.org/document_library"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sans.org/security-resources/policies/general/pdf/password-construction-guidelines"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D146DC-108A-4A98-9EC4-398856595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1</TotalTime>
  <Pages>4</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4436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4</cp:revision>
  <dcterms:created xsi:type="dcterms:W3CDTF">2016-06-10T14:24:00Z</dcterms:created>
  <dcterms:modified xsi:type="dcterms:W3CDTF">2016-06-10T14:27:00Z</dcterms:modified>
</cp:coreProperties>
</file>