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2494B" w14:textId="67CBDB86" w:rsidR="008734F6" w:rsidRDefault="008734F6" w:rsidP="004B5994">
      <w:bookmarkStart w:id="0" w:name="_GoBack"/>
      <w:bookmarkEnd w:id="0"/>
      <w:r>
        <w:rPr>
          <w:noProof/>
        </w:rPr>
        <w:drawing>
          <wp:inline distT="0" distB="0" distL="0" distR="0" wp14:anchorId="20EFAB71" wp14:editId="16C53AFB">
            <wp:extent cx="532852" cy="669628"/>
            <wp:effectExtent l="38100" t="38100" r="76835" b="73660"/>
            <wp:docPr id="107374182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52" cy="6696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</w:t>
      </w:r>
    </w:p>
    <w:p w14:paraId="7D729976" w14:textId="77777777" w:rsidR="008734F6" w:rsidRDefault="008734F6" w:rsidP="008734F6">
      <w:pPr>
        <w:pStyle w:val="Title"/>
        <w:jc w:val="center"/>
      </w:pPr>
      <w:bookmarkStart w:id="1" w:name="_Toc452019032"/>
      <w:bookmarkStart w:id="2" w:name="_Toc453241973"/>
      <w:r w:rsidRPr="008734F6">
        <w:t>Computer</w:t>
      </w:r>
      <w:r w:rsidRPr="0097592D">
        <w:t xml:space="preserve"> Configuration Baseline Standard</w:t>
      </w:r>
      <w:bookmarkEnd w:id="1"/>
      <w:bookmarkEnd w:id="2"/>
    </w:p>
    <w:p w14:paraId="30762E31" w14:textId="77777777" w:rsidR="008734F6" w:rsidRPr="008734F6" w:rsidRDefault="008734F6" w:rsidP="009333B8">
      <w:pPr>
        <w:pStyle w:val="Heading1"/>
        <w:numPr>
          <w:ilvl w:val="0"/>
          <w:numId w:val="80"/>
        </w:numPr>
        <w:ind w:left="360" w:hanging="360"/>
        <w:rPr>
          <w:b w:val="0"/>
        </w:rPr>
      </w:pPr>
      <w:r w:rsidRPr="006B217A">
        <w:t>Overview/Purpose</w:t>
      </w:r>
    </w:p>
    <w:p w14:paraId="40D6DE0D" w14:textId="644BB7A8" w:rsidR="008734F6" w:rsidRDefault="003D52F4" w:rsidP="008734F6">
      <w:r w:rsidRPr="00B66C8C">
        <w:rPr>
          <w:b/>
          <w:color w:val="FF0000"/>
          <w:u w:color="FF0000"/>
        </w:rPr>
        <w:t>&lt;Utility Name&gt;</w:t>
      </w:r>
      <w:r w:rsidR="008734F6">
        <w:t xml:space="preserve"> uses servers and workstations to support data processes in fulfilling its mission. </w:t>
      </w:r>
      <w:r w:rsidR="008734F6" w:rsidRPr="0097592D">
        <w:t xml:space="preserve">Servers </w:t>
      </w:r>
      <w:r w:rsidR="008734F6">
        <w:t xml:space="preserve">and workstations </w:t>
      </w:r>
      <w:r w:rsidR="008734F6" w:rsidRPr="0097592D">
        <w:t xml:space="preserve">that are not configured properly are vulnerable to hacking, </w:t>
      </w:r>
      <w:r w:rsidR="008734F6">
        <w:t xml:space="preserve">and various forms of </w:t>
      </w:r>
      <w:r w:rsidR="008734F6" w:rsidRPr="0097592D">
        <w:t xml:space="preserve">malware, </w:t>
      </w:r>
      <w:r w:rsidR="008734F6">
        <w:t xml:space="preserve">including </w:t>
      </w:r>
      <w:r w:rsidR="008734F6" w:rsidRPr="0097592D">
        <w:t xml:space="preserve">rootkits </w:t>
      </w:r>
      <w:r w:rsidR="008734F6">
        <w:t xml:space="preserve">and </w:t>
      </w:r>
      <w:r w:rsidR="008734F6" w:rsidRPr="0097592D">
        <w:t>botnet</w:t>
      </w:r>
      <w:r w:rsidR="008734F6">
        <w:t>s</w:t>
      </w:r>
      <w:r w:rsidR="008734F6" w:rsidRPr="0097592D">
        <w:t xml:space="preserve">. </w:t>
      </w:r>
      <w:r w:rsidR="008734F6">
        <w:t xml:space="preserve">This standard define baselines for new servers and workstation configuration.   </w:t>
      </w:r>
    </w:p>
    <w:p w14:paraId="0E1160CF" w14:textId="77777777" w:rsidR="008734F6" w:rsidRDefault="008734F6" w:rsidP="00846212">
      <w:pPr>
        <w:pStyle w:val="Heading1"/>
        <w:ind w:left="360" w:hanging="360"/>
        <w:rPr>
          <w:b w:val="0"/>
          <w:lang w:val="it-IT"/>
        </w:rPr>
      </w:pPr>
      <w:r w:rsidRPr="008734F6">
        <w:t>Scope</w:t>
      </w:r>
    </w:p>
    <w:p w14:paraId="4BBB8EA2" w14:textId="77777777" w:rsidR="008734F6" w:rsidRDefault="008734F6" w:rsidP="008734F6">
      <w:r>
        <w:t>This standard apply to:</w:t>
      </w:r>
    </w:p>
    <w:p w14:paraId="755BC7D9" w14:textId="4C86ED23" w:rsidR="008734F6" w:rsidRDefault="008734F6" w:rsidP="009333B8">
      <w:pPr>
        <w:pStyle w:val="ListParagraph"/>
        <w:numPr>
          <w:ilvl w:val="0"/>
          <w:numId w:val="81"/>
        </w:numPr>
      </w:pPr>
      <w:r>
        <w:t>Servers and workstations configured by IT Department.</w:t>
      </w:r>
    </w:p>
    <w:p w14:paraId="5D0EB85B" w14:textId="46E597B7" w:rsidR="008734F6" w:rsidRDefault="008734F6" w:rsidP="009333B8">
      <w:pPr>
        <w:pStyle w:val="ListParagraph"/>
        <w:numPr>
          <w:ilvl w:val="0"/>
          <w:numId w:val="81"/>
        </w:numPr>
      </w:pPr>
      <w:r>
        <w:t xml:space="preserve">Servers and workstations configured by vendors contracted by </w:t>
      </w:r>
      <w:r w:rsidR="003D52F4" w:rsidRPr="00B66C8C">
        <w:rPr>
          <w:b/>
          <w:color w:val="FF0000"/>
          <w:u w:color="FF0000"/>
        </w:rPr>
        <w:t>&lt;Utility Name&gt;</w:t>
      </w:r>
      <w:r>
        <w:t>.</w:t>
      </w:r>
    </w:p>
    <w:p w14:paraId="18C363E3" w14:textId="77777777" w:rsidR="008734F6" w:rsidRDefault="008734F6" w:rsidP="00846212">
      <w:pPr>
        <w:pStyle w:val="Heading1"/>
        <w:ind w:left="360" w:hanging="360"/>
        <w:rPr>
          <w:b w:val="0"/>
        </w:rPr>
      </w:pPr>
      <w:r w:rsidRPr="008734F6">
        <w:t>Standard</w:t>
      </w:r>
    </w:p>
    <w:p w14:paraId="1ADBB35D" w14:textId="23F1A9A0" w:rsidR="008734F6" w:rsidRDefault="008734F6" w:rsidP="008734F6">
      <w:r>
        <w:t xml:space="preserve">The IT Department shall use benchmarks published by the Center for Internet Security as a baseline for new computers configuration. These benchmarks are available at Center for Internet Security </w:t>
      </w:r>
      <w:hyperlink r:id="rId10" w:history="1">
        <w:r w:rsidRPr="00191541">
          <w:rPr>
            <w:rStyle w:val="Hyperlink"/>
            <w:rFonts w:cstheme="minorHAnsi"/>
          </w:rPr>
          <w:t>https://benchmarks.cisecurity.org/downloads/multiform/</w:t>
        </w:r>
      </w:hyperlink>
      <w:r>
        <w:t xml:space="preserve">.  </w:t>
      </w:r>
      <w:r>
        <w:br/>
        <w:t xml:space="preserve">Benchmarks currently in use by the </w:t>
      </w:r>
      <w:r w:rsidR="0019142C">
        <w:t>Utility</w:t>
      </w:r>
      <w:r>
        <w:t xml:space="preserve"> shall be documented using the </w:t>
      </w:r>
      <w:r w:rsidRPr="00B51ADB">
        <w:rPr>
          <w:i/>
        </w:rPr>
        <w:t>Computer Configuration Benchmarks</w:t>
      </w:r>
      <w:r>
        <w:t xml:space="preserve"> Form. If benchmarks are not available for new system, the IT Manager is responsible for creating temporarily benchmarks.</w:t>
      </w:r>
    </w:p>
    <w:p w14:paraId="797CBD97" w14:textId="77777777" w:rsidR="008734F6" w:rsidRPr="006B217A" w:rsidRDefault="008734F6" w:rsidP="00846212">
      <w:pPr>
        <w:pStyle w:val="Heading1"/>
        <w:ind w:left="360" w:hanging="360"/>
        <w:rPr>
          <w:b w:val="0"/>
        </w:rPr>
      </w:pPr>
      <w:r w:rsidRPr="008734F6">
        <w:t>Compliance</w:t>
      </w:r>
    </w:p>
    <w:p w14:paraId="41823CA5" w14:textId="77777777" w:rsidR="008734F6" w:rsidRDefault="008734F6" w:rsidP="00846212">
      <w:pPr>
        <w:pStyle w:val="Heading2"/>
        <w:ind w:left="1080" w:hanging="720"/>
      </w:pPr>
      <w:r w:rsidRPr="00EB634D">
        <w:t>Compliance</w:t>
      </w:r>
      <w:r>
        <w:t xml:space="preserve"> </w:t>
      </w:r>
      <w:r w:rsidRPr="00EB634D">
        <w:t>Measurement</w:t>
      </w:r>
    </w:p>
    <w:p w14:paraId="3C5D6A45" w14:textId="26CC1FE6" w:rsidR="008734F6" w:rsidRPr="006B217A" w:rsidRDefault="008734F6" w:rsidP="00846212">
      <w:pPr>
        <w:ind w:left="360"/>
      </w:pPr>
      <w:r w:rsidRPr="006B217A">
        <w:t xml:space="preserve">The </w:t>
      </w:r>
      <w:r w:rsidRPr="006B217A">
        <w:rPr>
          <w:color w:val="FF0000"/>
        </w:rPr>
        <w:t>&lt;</w:t>
      </w:r>
      <w:r w:rsidRPr="006B217A">
        <w:rPr>
          <w:b/>
          <w:color w:val="FF0000"/>
        </w:rPr>
        <w:t>person or group responsible for policy</w:t>
      </w:r>
      <w:r w:rsidRPr="006B217A">
        <w:rPr>
          <w:color w:val="FF0000"/>
        </w:rPr>
        <w:t xml:space="preserve">&gt; </w:t>
      </w:r>
      <w:r w:rsidRPr="006B217A">
        <w:t>will verify compliance to this policy through various methods, including but not limited to, business tool reports, internal and external audits, and feedback to the policy owner.</w:t>
      </w:r>
    </w:p>
    <w:p w14:paraId="66C2BB38" w14:textId="77777777" w:rsidR="008734F6" w:rsidRDefault="008734F6" w:rsidP="00846212">
      <w:pPr>
        <w:pStyle w:val="Heading2"/>
        <w:ind w:left="1080" w:hanging="720"/>
      </w:pPr>
      <w:r w:rsidRPr="00EB634D">
        <w:t>Exceptions</w:t>
      </w:r>
    </w:p>
    <w:p w14:paraId="57955199" w14:textId="333F1EA4" w:rsidR="008734F6" w:rsidRPr="006B217A" w:rsidRDefault="008734F6" w:rsidP="00846212">
      <w:pPr>
        <w:ind w:left="360"/>
      </w:pPr>
      <w:r w:rsidRPr="006B217A">
        <w:t xml:space="preserve">Any exception to the policy must be approved by the </w:t>
      </w:r>
      <w:r w:rsidRPr="006B217A">
        <w:rPr>
          <w:color w:val="FF0000"/>
        </w:rPr>
        <w:t>&lt;</w:t>
      </w:r>
      <w:r w:rsidRPr="006B217A">
        <w:rPr>
          <w:b/>
          <w:color w:val="FF0000"/>
        </w:rPr>
        <w:t>person or group responsible for policy</w:t>
      </w:r>
      <w:r w:rsidR="0004200E" w:rsidRPr="006B217A" w:rsidDel="0004200E">
        <w:rPr>
          <w:b/>
          <w:color w:val="FF0000"/>
        </w:rPr>
        <w:t xml:space="preserve"> </w:t>
      </w:r>
      <w:r w:rsidRPr="006B217A">
        <w:rPr>
          <w:color w:val="FF0000"/>
        </w:rPr>
        <w:t>&gt;</w:t>
      </w:r>
      <w:r w:rsidRPr="006B217A">
        <w:t xml:space="preserve"> in advance.</w:t>
      </w:r>
    </w:p>
    <w:p w14:paraId="166836E6" w14:textId="77777777" w:rsidR="008734F6" w:rsidRDefault="008734F6" w:rsidP="00846212">
      <w:pPr>
        <w:pStyle w:val="Heading2"/>
        <w:ind w:left="1080" w:hanging="720"/>
      </w:pPr>
      <w:r>
        <w:lastRenderedPageBreak/>
        <w:t>Non-Compliance</w:t>
      </w:r>
    </w:p>
    <w:p w14:paraId="370EC0A4" w14:textId="41117512" w:rsidR="008734F6" w:rsidRDefault="008734F6" w:rsidP="00846212">
      <w:pPr>
        <w:ind w:left="360"/>
      </w:pPr>
      <w:r w:rsidRPr="006B217A">
        <w:t xml:space="preserve">An employee found to have violated this policy may be subject to disciplinary action in accordance with </w:t>
      </w:r>
      <w:r w:rsidR="00465FD7" w:rsidRPr="00873A83">
        <w:rPr>
          <w:b/>
          <w:color w:val="FF0000"/>
        </w:rPr>
        <w:t>&lt;Utility Name&gt;</w:t>
      </w:r>
      <w:r w:rsidR="00465FD7">
        <w:t xml:space="preserve"> HR policies</w:t>
      </w:r>
      <w:r w:rsidRPr="00F550DA">
        <w:t>.</w:t>
      </w:r>
    </w:p>
    <w:p w14:paraId="4C011810" w14:textId="77777777" w:rsidR="008734F6" w:rsidRDefault="008734F6" w:rsidP="008734F6">
      <w:pPr>
        <w:pStyle w:val="Heading"/>
      </w:pPr>
      <w:r w:rsidRPr="009F42E7">
        <w:t>Related</w:t>
      </w:r>
      <w:r>
        <w:t xml:space="preserve"> Standards, Policies, and Processes </w:t>
      </w:r>
    </w:p>
    <w:p w14:paraId="16BA520D" w14:textId="4E65D27D" w:rsidR="008734F6" w:rsidRDefault="008734F6" w:rsidP="009333B8">
      <w:pPr>
        <w:pStyle w:val="ListParagraph"/>
        <w:numPr>
          <w:ilvl w:val="0"/>
          <w:numId w:val="82"/>
        </w:numPr>
      </w:pPr>
      <w:r>
        <w:t>Center for Internet Security</w:t>
      </w:r>
      <w:r>
        <w:br/>
        <w:t>Secure Configuration Benchmarks</w:t>
      </w:r>
      <w:r>
        <w:br/>
      </w:r>
      <w:r w:rsidR="00B946E6">
        <w:rPr>
          <w:rFonts w:cstheme="minorHAnsi"/>
        </w:rPr>
        <w:t>(</w:t>
      </w:r>
      <w:hyperlink r:id="rId11" w:history="1">
        <w:r w:rsidR="00334862" w:rsidRPr="00A66525">
          <w:rPr>
            <w:rStyle w:val="Hyperlink"/>
            <w:rFonts w:cstheme="minorHAnsi"/>
          </w:rPr>
          <w:t>https://benchmarks.cisecurity.org/</w:t>
        </w:r>
      </w:hyperlink>
      <w:r w:rsidR="00334862">
        <w:rPr>
          <w:rFonts w:cstheme="minorHAnsi"/>
        </w:rPr>
        <w:t xml:space="preserve">) </w:t>
      </w:r>
    </w:p>
    <w:p w14:paraId="04EA6CE8" w14:textId="77777777" w:rsidR="008734F6" w:rsidRDefault="008734F6" w:rsidP="008734F6">
      <w:pPr>
        <w:pStyle w:val="Heading"/>
      </w:pPr>
      <w:r w:rsidRPr="009F42E7">
        <w:t>Responsibilities</w:t>
      </w:r>
    </w:p>
    <w:p w14:paraId="3060ABE4" w14:textId="5F75623E" w:rsidR="008734F6" w:rsidRPr="00846212" w:rsidRDefault="00FB3351" w:rsidP="009F47AA">
      <w:pPr>
        <w:rPr>
          <w:rFonts w:cstheme="minorHAnsi"/>
        </w:rPr>
      </w:pPr>
      <w:r>
        <w:t>The ISP uses the RACI model for assigning responsibility.</w:t>
      </w:r>
    </w:p>
    <w:tbl>
      <w:tblPr>
        <w:tblStyle w:val="GridTable4-Accent21"/>
        <w:tblW w:w="9350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4F6" w14:paraId="68CF666E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AF18BB" w14:textId="77777777" w:rsidR="008734F6" w:rsidRDefault="008734F6" w:rsidP="004B5994">
            <w:pPr>
              <w:pStyle w:val="BodyA"/>
              <w:jc w:val="center"/>
            </w:pPr>
            <w:r>
              <w:rPr>
                <w:rStyle w:val="None"/>
                <w:color w:val="FFFFFF"/>
                <w:u w:color="FFFFFF"/>
              </w:rPr>
              <w:t>Responsible</w:t>
            </w:r>
          </w:p>
        </w:tc>
        <w:tc>
          <w:tcPr>
            <w:tcW w:w="2337" w:type="dxa"/>
          </w:tcPr>
          <w:p w14:paraId="63547BAC" w14:textId="77777777" w:rsidR="008734F6" w:rsidRDefault="008734F6" w:rsidP="004B5994">
            <w:pPr>
              <w:pStyle w:val="Body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ne"/>
                <w:color w:val="FFFFFF"/>
                <w:u w:color="FFFFFF"/>
              </w:rPr>
              <w:t>Accountable</w:t>
            </w:r>
          </w:p>
        </w:tc>
        <w:tc>
          <w:tcPr>
            <w:tcW w:w="2338" w:type="dxa"/>
          </w:tcPr>
          <w:p w14:paraId="3B196919" w14:textId="77777777" w:rsidR="008734F6" w:rsidRDefault="008734F6" w:rsidP="004B5994">
            <w:pPr>
              <w:pStyle w:val="Body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ne"/>
                <w:color w:val="FFFFFF"/>
                <w:u w:color="FFFFFF"/>
              </w:rPr>
              <w:t>Consulted</w:t>
            </w:r>
          </w:p>
        </w:tc>
        <w:tc>
          <w:tcPr>
            <w:tcW w:w="2338" w:type="dxa"/>
          </w:tcPr>
          <w:p w14:paraId="58E1C856" w14:textId="77777777" w:rsidR="008734F6" w:rsidRDefault="008734F6" w:rsidP="004B5994">
            <w:pPr>
              <w:pStyle w:val="Body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ne"/>
                <w:color w:val="FFFFFF"/>
                <w:u w:color="FFFFFF"/>
              </w:rPr>
              <w:t>Informed</w:t>
            </w:r>
          </w:p>
        </w:tc>
      </w:tr>
      <w:tr w:rsidR="008734F6" w14:paraId="5B97244C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9965F8" w14:textId="77777777" w:rsidR="001125B3" w:rsidRDefault="001125B3" w:rsidP="004B5994">
            <w:pPr>
              <w:pStyle w:val="BodyA"/>
              <w:spacing w:after="0" w:line="240" w:lineRule="auto"/>
              <w:jc w:val="center"/>
              <w:rPr>
                <w:rStyle w:val="None"/>
                <w:bCs w:val="0"/>
              </w:rPr>
            </w:pPr>
          </w:p>
          <w:p w14:paraId="52E9DD65" w14:textId="77777777" w:rsidR="008734F6" w:rsidRPr="001125B3" w:rsidRDefault="008734F6" w:rsidP="004B5994">
            <w:pPr>
              <w:pStyle w:val="BodyA"/>
              <w:spacing w:after="0" w:line="240" w:lineRule="auto"/>
              <w:jc w:val="center"/>
            </w:pPr>
            <w:r w:rsidRPr="001125B3">
              <w:rPr>
                <w:rStyle w:val="None"/>
                <w:bCs w:val="0"/>
              </w:rPr>
              <w:t>IT Manager</w:t>
            </w:r>
          </w:p>
        </w:tc>
        <w:tc>
          <w:tcPr>
            <w:tcW w:w="2337" w:type="dxa"/>
          </w:tcPr>
          <w:p w14:paraId="70DF40BB" w14:textId="77777777" w:rsidR="001125B3" w:rsidRDefault="001125B3" w:rsidP="004B5994">
            <w:pPr>
              <w:pStyle w:val="Body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b/>
                <w:bCs/>
              </w:rPr>
            </w:pPr>
          </w:p>
          <w:p w14:paraId="3FC34C5B" w14:textId="77777777" w:rsidR="008734F6" w:rsidRDefault="008734F6" w:rsidP="004B5994">
            <w:pPr>
              <w:pStyle w:val="Body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ne"/>
                <w:b/>
                <w:bCs/>
              </w:rPr>
              <w:t>CEO/GM</w:t>
            </w:r>
          </w:p>
        </w:tc>
        <w:tc>
          <w:tcPr>
            <w:tcW w:w="2338" w:type="dxa"/>
          </w:tcPr>
          <w:p w14:paraId="425513CD" w14:textId="77777777" w:rsidR="001125B3" w:rsidRDefault="001125B3" w:rsidP="004B5994">
            <w:pPr>
              <w:pStyle w:val="Body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54E58A05" w14:textId="77777777" w:rsidR="008734F6" w:rsidRPr="00B51ADB" w:rsidRDefault="008734F6" w:rsidP="004B5994">
            <w:pPr>
              <w:pStyle w:val="Body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1ADB">
              <w:rPr>
                <w:b/>
              </w:rPr>
              <w:t>IT Administrator</w:t>
            </w:r>
          </w:p>
        </w:tc>
        <w:tc>
          <w:tcPr>
            <w:tcW w:w="2338" w:type="dxa"/>
          </w:tcPr>
          <w:p w14:paraId="04ECC6E6" w14:textId="77777777" w:rsidR="001125B3" w:rsidRDefault="001125B3" w:rsidP="004B5994">
            <w:pPr>
              <w:pStyle w:val="Body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b/>
                <w:bCs/>
              </w:rPr>
            </w:pPr>
          </w:p>
          <w:p w14:paraId="0A971A4F" w14:textId="77777777" w:rsidR="008734F6" w:rsidRDefault="008734F6" w:rsidP="004B5994">
            <w:pPr>
              <w:pStyle w:val="Body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>IT Department</w:t>
            </w:r>
          </w:p>
          <w:p w14:paraId="61D8F761" w14:textId="77777777" w:rsidR="001125B3" w:rsidRDefault="001125B3" w:rsidP="004B5994">
            <w:pPr>
              <w:pStyle w:val="Body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584C34" w14:textId="590073D7" w:rsidR="008734F6" w:rsidRDefault="008734F6" w:rsidP="00E8301C">
      <w:pPr>
        <w:pStyle w:val="BodyA"/>
        <w:ind w:left="720"/>
        <w:jc w:val="center"/>
      </w:pPr>
      <w:r>
        <w:rPr>
          <w:rStyle w:val="None"/>
          <w:i/>
          <w:iCs/>
          <w:color w:val="0070C0"/>
          <w:u w:color="0070C0"/>
        </w:rPr>
        <w:t xml:space="preserve">[Explanatory Note:  </w:t>
      </w:r>
      <w:r w:rsidR="00465FD7">
        <w:rPr>
          <w:rStyle w:val="None"/>
          <w:i/>
          <w:iCs/>
          <w:color w:val="0070C0"/>
          <w:u w:color="0070C0"/>
        </w:rPr>
        <w:t>&lt;Utility Name&gt;</w:t>
      </w:r>
      <w:r>
        <w:rPr>
          <w:rStyle w:val="None"/>
          <w:i/>
          <w:iCs/>
          <w:color w:val="0070C0"/>
          <w:u w:color="0070C0"/>
        </w:rPr>
        <w:t xml:space="preserve"> should feel free to alter section to reflect the specific responsibility requirement determined by </w:t>
      </w:r>
      <w:r w:rsidR="00465FD7">
        <w:rPr>
          <w:rStyle w:val="None"/>
          <w:i/>
          <w:iCs/>
          <w:color w:val="0070C0"/>
          <w:u w:color="0070C0"/>
        </w:rPr>
        <w:t>&lt;Utility Name&gt; management</w:t>
      </w:r>
      <w:r>
        <w:rPr>
          <w:rStyle w:val="None"/>
          <w:i/>
          <w:iCs/>
          <w:color w:val="0070C0"/>
          <w:u w:color="0070C0"/>
        </w:rPr>
        <w:t>.]</w:t>
      </w:r>
    </w:p>
    <w:p w14:paraId="66704380" w14:textId="77777777" w:rsidR="008734F6" w:rsidRPr="00363205" w:rsidRDefault="008734F6" w:rsidP="008734F6">
      <w:pPr>
        <w:pStyle w:val="Heading"/>
        <w:rPr>
          <w:lang w:val="it-IT"/>
        </w:rPr>
      </w:pPr>
      <w:r w:rsidRPr="008734F6">
        <w:rPr>
          <w:rStyle w:val="None"/>
        </w:rPr>
        <w:t>Approval</w:t>
      </w:r>
    </w:p>
    <w:p w14:paraId="7BDA72D1" w14:textId="77777777" w:rsidR="008734F6" w:rsidRDefault="008734F6">
      <w:pPr>
        <w:pStyle w:val="BodyA"/>
        <w:spacing w:after="0" w:line="240" w:lineRule="auto"/>
      </w:pPr>
    </w:p>
    <w:p w14:paraId="3952A281" w14:textId="77777777" w:rsidR="00F661A4" w:rsidRDefault="00F661A4" w:rsidP="00F661A4">
      <w:pPr>
        <w:pStyle w:val="Body"/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3110F2" w14:textId="77777777" w:rsidR="00F661A4" w:rsidRDefault="00F661A4" w:rsidP="00F661A4">
      <w:pPr>
        <w:pStyle w:val="Body"/>
        <w:spacing w:after="0" w:line="240" w:lineRule="auto"/>
      </w:pPr>
      <w:r>
        <w:rPr>
          <w:color w:val="FF0000"/>
          <w:u w:color="FF0000"/>
        </w:rPr>
        <w:t>&lt;</w:t>
      </w:r>
      <w:r>
        <w:rPr>
          <w:b/>
          <w:bCs/>
          <w:color w:val="FF0000"/>
          <w:u w:color="FF0000"/>
        </w:rPr>
        <w:t>Insert title of approver</w:t>
      </w:r>
      <w:r>
        <w:rPr>
          <w:color w:val="FF0000"/>
          <w:u w:color="FF0000"/>
        </w:rPr>
        <w:t>&gt;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Date</w:t>
      </w:r>
    </w:p>
    <w:p w14:paraId="5E2944C2" w14:textId="77777777" w:rsidR="008734F6" w:rsidRDefault="008734F6">
      <w:pPr>
        <w:pStyle w:val="BodyA"/>
        <w:spacing w:after="0" w:line="240" w:lineRule="auto"/>
      </w:pPr>
    </w:p>
    <w:p w14:paraId="703FB571" w14:textId="77777777" w:rsidR="008734F6" w:rsidRPr="00363205" w:rsidRDefault="008734F6" w:rsidP="008734F6">
      <w:pPr>
        <w:pStyle w:val="Heading"/>
        <w:rPr>
          <w:lang w:val="it-IT"/>
        </w:rPr>
      </w:pPr>
      <w:r>
        <w:rPr>
          <w:rStyle w:val="None"/>
          <w:szCs w:val="32"/>
          <w:lang w:val="it-IT"/>
        </w:rPr>
        <w:t xml:space="preserve">Revision </w:t>
      </w:r>
      <w:r w:rsidRPr="008734F6">
        <w:rPr>
          <w:rStyle w:val="None"/>
        </w:rPr>
        <w:t>History</w:t>
      </w:r>
    </w:p>
    <w:p w14:paraId="5720B0A0" w14:textId="77777777" w:rsidR="008734F6" w:rsidRDefault="008734F6">
      <w:pPr>
        <w:pStyle w:val="BodyA"/>
        <w:spacing w:after="0" w:line="240" w:lineRule="auto"/>
      </w:pPr>
    </w:p>
    <w:tbl>
      <w:tblPr>
        <w:tblW w:w="9350" w:type="dxa"/>
        <w:tblInd w:w="4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75"/>
        <w:gridCol w:w="1980"/>
        <w:gridCol w:w="5395"/>
      </w:tblGrid>
      <w:tr w:rsidR="008734F6" w14:paraId="4AB28F9C" w14:textId="77777777" w:rsidTr="004B5994">
        <w:trPr>
          <w:trHeight w:val="26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DEA4" w14:textId="77777777" w:rsidR="008734F6" w:rsidRDefault="008734F6">
            <w:pPr>
              <w:pStyle w:val="BodyA"/>
            </w:pPr>
            <w:r>
              <w:rPr>
                <w:rStyle w:val="None"/>
              </w:rPr>
              <w:t>Date of Change(s)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DFE5D" w14:textId="77777777" w:rsidR="008734F6" w:rsidRDefault="008734F6">
            <w:pPr>
              <w:pStyle w:val="BodyA"/>
              <w:spacing w:after="0" w:line="240" w:lineRule="auto"/>
            </w:pPr>
            <w:r>
              <w:rPr>
                <w:rStyle w:val="None"/>
              </w:rPr>
              <w:t>Revised by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05E1" w14:textId="77777777" w:rsidR="008734F6" w:rsidRDefault="008734F6">
            <w:pPr>
              <w:pStyle w:val="BodyA"/>
              <w:spacing w:after="0" w:line="240" w:lineRule="auto"/>
            </w:pPr>
            <w:r>
              <w:rPr>
                <w:rStyle w:val="None"/>
              </w:rPr>
              <w:t>Summary of Change(s)</w:t>
            </w:r>
          </w:p>
        </w:tc>
      </w:tr>
      <w:tr w:rsidR="008734F6" w14:paraId="6DB9F24B" w14:textId="77777777" w:rsidTr="004B5994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C2BB7" w14:textId="77777777" w:rsidR="008734F6" w:rsidRDefault="008734F6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5CF5F" w14:textId="77777777" w:rsidR="008734F6" w:rsidRDefault="008734F6"/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125B" w14:textId="77777777" w:rsidR="008734F6" w:rsidRDefault="008734F6"/>
        </w:tc>
      </w:tr>
      <w:tr w:rsidR="008734F6" w14:paraId="20042208" w14:textId="77777777" w:rsidTr="004B5994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111CC" w14:textId="77777777" w:rsidR="008734F6" w:rsidRDefault="008734F6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47DFA" w14:textId="77777777" w:rsidR="008734F6" w:rsidRDefault="008734F6"/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1A281" w14:textId="77777777" w:rsidR="008734F6" w:rsidRDefault="008734F6"/>
        </w:tc>
      </w:tr>
      <w:tr w:rsidR="008734F6" w14:paraId="77488092" w14:textId="77777777" w:rsidTr="004B5994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A476D" w14:textId="77777777" w:rsidR="008734F6" w:rsidRDefault="008734F6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2F51F" w14:textId="77777777" w:rsidR="008734F6" w:rsidRDefault="008734F6"/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2558C" w14:textId="77777777" w:rsidR="008734F6" w:rsidRDefault="008734F6"/>
        </w:tc>
      </w:tr>
    </w:tbl>
    <w:p w14:paraId="33796165" w14:textId="77777777" w:rsidR="008734F6" w:rsidRDefault="008734F6" w:rsidP="008734F6"/>
    <w:sectPr w:rsidR="008734F6" w:rsidSect="003A2211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5F762DBB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3A2211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09529D63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3A2211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0A4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A30"/>
    <w:rsid w:val="00354C89"/>
    <w:rsid w:val="0037120D"/>
    <w:rsid w:val="00372D26"/>
    <w:rsid w:val="00375B19"/>
    <w:rsid w:val="00377F30"/>
    <w:rsid w:val="00394076"/>
    <w:rsid w:val="0039733E"/>
    <w:rsid w:val="003A113E"/>
    <w:rsid w:val="003A2211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0B22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56C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43CF9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CF329F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enchmarks.cisecurity.org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benchmarks.cisecurity.org/downloads/multifor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6B7312-39FE-4C09-B1E7-406BA1F1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2016-06-10T15:42:00Z</dcterms:created>
  <dcterms:modified xsi:type="dcterms:W3CDTF">2016-06-10T15:47:00Z</dcterms:modified>
</cp:coreProperties>
</file>