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F8A3" w14:textId="77777777" w:rsidR="00E8301C" w:rsidRDefault="00E8301C" w:rsidP="00E8301C">
      <w:bookmarkStart w:id="0" w:name="_GoBack"/>
      <w:bookmarkEnd w:id="0"/>
      <w:r>
        <w:rPr>
          <w:noProof/>
        </w:rPr>
        <w:drawing>
          <wp:inline distT="0" distB="0" distL="0" distR="0" wp14:anchorId="40AA43B1" wp14:editId="6A87AB67">
            <wp:extent cx="582843" cy="732450"/>
            <wp:effectExtent l="38100" t="38100" r="84455" b="67945"/>
            <wp:docPr id="1073741827" name="Picture 10737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7EA82EA6" w14:textId="77777777" w:rsidR="00E8301C" w:rsidRDefault="00E8301C" w:rsidP="00E8301C">
      <w:pPr>
        <w:pStyle w:val="Title"/>
        <w:jc w:val="center"/>
      </w:pPr>
      <w:bookmarkStart w:id="1" w:name="_Toc452019033"/>
      <w:bookmarkStart w:id="2" w:name="_Toc453241974"/>
      <w:r>
        <w:t xml:space="preserve">System </w:t>
      </w:r>
      <w:r w:rsidRPr="00E8301C">
        <w:t>Patching</w:t>
      </w:r>
      <w:r>
        <w:t xml:space="preserve"> Policy</w:t>
      </w:r>
      <w:bookmarkEnd w:id="1"/>
      <w:bookmarkEnd w:id="2"/>
    </w:p>
    <w:p w14:paraId="1512814F" w14:textId="77777777" w:rsidR="00E8301C" w:rsidRDefault="00E8301C" w:rsidP="009333B8">
      <w:pPr>
        <w:pStyle w:val="Heading1"/>
        <w:numPr>
          <w:ilvl w:val="0"/>
          <w:numId w:val="87"/>
        </w:numPr>
        <w:ind w:left="360" w:hanging="360"/>
      </w:pPr>
      <w:r>
        <w:t>Overview/Purpose</w:t>
      </w:r>
    </w:p>
    <w:p w14:paraId="01F75DE3" w14:textId="63ED5C3E" w:rsidR="00E8301C" w:rsidRDefault="00E8301C" w:rsidP="00E8301C">
      <w:r w:rsidRPr="009608A9">
        <w:rPr>
          <w:b/>
          <w:color w:val="FF0000"/>
        </w:rPr>
        <w:t>&lt;</w:t>
      </w:r>
      <w:r w:rsidR="0019142C">
        <w:rPr>
          <w:b/>
          <w:color w:val="FF0000"/>
        </w:rPr>
        <w:t>Utility Name</w:t>
      </w:r>
      <w:r w:rsidRPr="009608A9">
        <w:rPr>
          <w:b/>
          <w:color w:val="FF0000"/>
        </w:rPr>
        <w:t>&gt;</w:t>
      </w:r>
      <w:r w:rsidRPr="009608A9">
        <w:rPr>
          <w:color w:val="FF0000"/>
        </w:rPr>
        <w:t xml:space="preserve"> </w:t>
      </w:r>
      <w:r w:rsidRPr="009608A9">
        <w:t xml:space="preserve">is responsible for ensuring the confidentiality, integrity, and availability </w:t>
      </w:r>
      <w:r>
        <w:t xml:space="preserve">of </w:t>
      </w:r>
      <w:r w:rsidRPr="009608A9">
        <w:t xml:space="preserve">its data and that of customer data stored on its systems.  </w:t>
      </w:r>
      <w:r w:rsidRPr="009608A9">
        <w:rPr>
          <w:b/>
          <w:color w:val="FF0000"/>
        </w:rPr>
        <w:t>&lt;</w:t>
      </w:r>
      <w:r w:rsidR="0019142C">
        <w:rPr>
          <w:b/>
          <w:color w:val="FF0000"/>
        </w:rPr>
        <w:t>Utility Name</w:t>
      </w:r>
      <w:r w:rsidRPr="009608A9">
        <w:rPr>
          <w:b/>
          <w:color w:val="FF0000"/>
        </w:rPr>
        <w:t>&gt;</w:t>
      </w:r>
      <w:r w:rsidRPr="009608A9">
        <w:rPr>
          <w:color w:val="FF0000"/>
        </w:rPr>
        <w:t xml:space="preserve"> </w:t>
      </w:r>
      <w:r w:rsidRPr="009608A9">
        <w:t>has an obligation to provide appropriate protection against malware threats, such as viruses, Trojans, and worms which could adversely affect the security of the system</w:t>
      </w:r>
      <w:r>
        <w:t>s</w:t>
      </w:r>
      <w:r w:rsidRPr="009608A9">
        <w:t xml:space="preserve"> or data </w:t>
      </w:r>
      <w:r>
        <w:t>stored</w:t>
      </w:r>
      <w:r w:rsidRPr="009608A9">
        <w:t xml:space="preserve"> on the system</w:t>
      </w:r>
      <w:r>
        <w:t>s</w:t>
      </w:r>
      <w:r w:rsidRPr="009608A9">
        <w:t>.  Effective implementation of this policy will limit the exposure and effect of common malware threats to the systems within this scope.</w:t>
      </w:r>
    </w:p>
    <w:p w14:paraId="09D98B0F" w14:textId="5B18F2F2" w:rsidR="00E8301C" w:rsidRDefault="00E8301C" w:rsidP="00E8301C">
      <w:r w:rsidRPr="009608A9">
        <w:t xml:space="preserve">This document describes </w:t>
      </w:r>
      <w:r w:rsidRPr="009608A9">
        <w:rPr>
          <w:b/>
          <w:color w:val="FF0000"/>
        </w:rPr>
        <w:t>&lt;</w:t>
      </w:r>
      <w:r w:rsidR="0019142C">
        <w:rPr>
          <w:b/>
          <w:color w:val="FF0000"/>
        </w:rPr>
        <w:t>Utility Name</w:t>
      </w:r>
      <w:r w:rsidRPr="009608A9">
        <w:rPr>
          <w:b/>
          <w:color w:val="FF0000"/>
        </w:rPr>
        <w:t>&gt;</w:t>
      </w:r>
      <w:r w:rsidRPr="009608A9">
        <w:t>’s</w:t>
      </w:r>
      <w:r w:rsidRPr="009608A9">
        <w:rPr>
          <w:color w:val="FF0000"/>
        </w:rPr>
        <w:t xml:space="preserve"> </w:t>
      </w:r>
      <w:r w:rsidRPr="009608A9">
        <w:t xml:space="preserve">requirements for maintaining up-to-date operating system security patches on all </w:t>
      </w:r>
      <w:r w:rsidRPr="009608A9">
        <w:rPr>
          <w:color w:val="FF0000"/>
        </w:rPr>
        <w:t xml:space="preserve"> </w:t>
      </w:r>
      <w:r w:rsidRPr="009608A9">
        <w:t>owned and managed workstations and servers.</w:t>
      </w:r>
      <w:r>
        <w:t xml:space="preserve">   </w:t>
      </w:r>
    </w:p>
    <w:p w14:paraId="79B87DC3" w14:textId="77777777" w:rsidR="00E8301C" w:rsidRDefault="00E8301C" w:rsidP="00846212">
      <w:pPr>
        <w:pStyle w:val="Heading1"/>
        <w:ind w:left="360" w:hanging="360"/>
      </w:pPr>
      <w:r>
        <w:t>Scope</w:t>
      </w:r>
    </w:p>
    <w:p w14:paraId="35BDA555" w14:textId="19EC2EE6" w:rsidR="00E8301C" w:rsidRDefault="00E8301C" w:rsidP="00E8301C">
      <w:r>
        <w:t xml:space="preserve">This policy applies to the following equipment, systems, and applications owned or used by </w:t>
      </w:r>
      <w:r w:rsidRPr="009608A9">
        <w:rPr>
          <w:b/>
          <w:color w:val="FF0000"/>
        </w:rPr>
        <w:t>&lt;</w:t>
      </w:r>
      <w:r w:rsidR="0019142C">
        <w:rPr>
          <w:b/>
          <w:color w:val="FF0000"/>
        </w:rPr>
        <w:t>Utility Name</w:t>
      </w:r>
      <w:r w:rsidRPr="009608A9">
        <w:rPr>
          <w:b/>
          <w:color w:val="FF0000"/>
        </w:rPr>
        <w:t>&gt;</w:t>
      </w:r>
      <w:r w:rsidR="007C3FD9" w:rsidRPr="00F661A4">
        <w:t>:</w:t>
      </w:r>
    </w:p>
    <w:p w14:paraId="477C700A" w14:textId="77777777" w:rsidR="00E8301C" w:rsidRDefault="00E8301C" w:rsidP="009333B8">
      <w:pPr>
        <w:pStyle w:val="ListParagraph"/>
        <w:numPr>
          <w:ilvl w:val="0"/>
          <w:numId w:val="85"/>
        </w:numPr>
        <w:pBdr>
          <w:top w:val="nil"/>
          <w:left w:val="nil"/>
          <w:bottom w:val="nil"/>
          <w:right w:val="nil"/>
          <w:between w:val="nil"/>
          <w:bar w:val="nil"/>
        </w:pBdr>
      </w:pPr>
      <w:r>
        <w:t>Computers - servers and workstations (including laptops)</w:t>
      </w:r>
    </w:p>
    <w:p w14:paraId="0BE31863" w14:textId="77777777" w:rsidR="00E8301C" w:rsidRDefault="00E8301C" w:rsidP="009333B8">
      <w:pPr>
        <w:pStyle w:val="ListParagraph"/>
        <w:numPr>
          <w:ilvl w:val="0"/>
          <w:numId w:val="85"/>
        </w:numPr>
        <w:pBdr>
          <w:top w:val="nil"/>
          <w:left w:val="nil"/>
          <w:bottom w:val="nil"/>
          <w:right w:val="nil"/>
          <w:between w:val="nil"/>
          <w:bar w:val="nil"/>
        </w:pBdr>
      </w:pPr>
      <w:r>
        <w:t>Mobile devices – smartphones, tablets</w:t>
      </w:r>
    </w:p>
    <w:p w14:paraId="222B3EE5" w14:textId="77777777" w:rsidR="00E8301C" w:rsidRPr="00377F9A" w:rsidRDefault="00E8301C" w:rsidP="009333B8">
      <w:pPr>
        <w:pStyle w:val="ListParagraph"/>
        <w:numPr>
          <w:ilvl w:val="0"/>
          <w:numId w:val="85"/>
        </w:numPr>
        <w:pBdr>
          <w:top w:val="nil"/>
          <w:left w:val="nil"/>
          <w:bottom w:val="nil"/>
          <w:right w:val="nil"/>
          <w:between w:val="nil"/>
          <w:bar w:val="nil"/>
        </w:pBdr>
        <w:rPr>
          <w:b/>
          <w:color w:val="FF0000"/>
        </w:rPr>
      </w:pPr>
      <w:r>
        <w:t xml:space="preserve">Network equipment – firewalls, routers, switches, network protocol converters </w:t>
      </w:r>
    </w:p>
    <w:p w14:paraId="7018A21E" w14:textId="77777777" w:rsidR="00E8301C" w:rsidRPr="00607F7B" w:rsidRDefault="00E8301C" w:rsidP="009333B8">
      <w:pPr>
        <w:pStyle w:val="ListParagraph"/>
        <w:numPr>
          <w:ilvl w:val="0"/>
          <w:numId w:val="85"/>
        </w:numPr>
        <w:pBdr>
          <w:top w:val="nil"/>
          <w:left w:val="nil"/>
          <w:bottom w:val="nil"/>
          <w:right w:val="nil"/>
          <w:between w:val="nil"/>
          <w:bar w:val="nil"/>
        </w:pBdr>
        <w:rPr>
          <w:b/>
          <w:color w:val="FF0000"/>
        </w:rPr>
      </w:pPr>
      <w:r>
        <w:t>Software applications</w:t>
      </w:r>
    </w:p>
    <w:p w14:paraId="7C104B50" w14:textId="77777777" w:rsidR="00E8301C" w:rsidRDefault="00E8301C" w:rsidP="00846212">
      <w:pPr>
        <w:pStyle w:val="Heading1"/>
        <w:ind w:left="360" w:hanging="360"/>
      </w:pPr>
      <w:r>
        <w:t>Policy</w:t>
      </w:r>
    </w:p>
    <w:p w14:paraId="182623FE" w14:textId="77777777" w:rsidR="00E8301C" w:rsidRPr="004D2C01" w:rsidRDefault="00E8301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0A3F785B" w14:textId="77777777" w:rsidR="00E8301C" w:rsidRPr="004D2C01" w:rsidRDefault="00E8301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3FF8ED90" w14:textId="77777777" w:rsidR="00E8301C" w:rsidRPr="004D2C01" w:rsidRDefault="00E8301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BBE711F" w14:textId="77777777" w:rsidR="00E8301C" w:rsidRPr="007A5603" w:rsidRDefault="00E8301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64069ADC" w14:textId="77777777" w:rsidR="00E8301C" w:rsidRPr="007A5603" w:rsidRDefault="00E8301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6C6FD9A3" w14:textId="77777777" w:rsidR="00E8301C" w:rsidRPr="007A5603" w:rsidRDefault="00E8301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9FD3BC0" w14:textId="7EC645CE" w:rsidR="00E8301C" w:rsidRDefault="00E8301C" w:rsidP="00E8301C">
      <w:r>
        <w:t>Computers, mobile devices, network equipment, and software applications owned</w:t>
      </w:r>
      <w:r w:rsidRPr="009608A9">
        <w:t xml:space="preserve"> </w:t>
      </w:r>
      <w:r>
        <w:t xml:space="preserve">or used </w:t>
      </w:r>
      <w:r w:rsidRPr="009608A9">
        <w:t xml:space="preserve">by </w:t>
      </w:r>
      <w:r w:rsidRPr="00EF5CC3">
        <w:rPr>
          <w:b/>
          <w:color w:val="FF0000"/>
        </w:rPr>
        <w:t>&lt;</w:t>
      </w:r>
      <w:r w:rsidR="0019142C">
        <w:rPr>
          <w:b/>
          <w:color w:val="FF0000"/>
        </w:rPr>
        <w:t>Utility Name</w:t>
      </w:r>
      <w:r w:rsidRPr="00EF5CC3">
        <w:rPr>
          <w:b/>
          <w:color w:val="FF0000"/>
        </w:rPr>
        <w:t>&gt;</w:t>
      </w:r>
      <w:r w:rsidRPr="00EF5CC3">
        <w:rPr>
          <w:color w:val="FF0000"/>
        </w:rPr>
        <w:t xml:space="preserve"> </w:t>
      </w:r>
      <w:r w:rsidRPr="009608A9">
        <w:t xml:space="preserve">must have up-to-date (as defined by </w:t>
      </w:r>
      <w:r w:rsidRPr="00EF5CC3">
        <w:rPr>
          <w:color w:val="FF0000"/>
        </w:rPr>
        <w:t>&lt;</w:t>
      </w:r>
      <w:r w:rsidRPr="00EF5CC3">
        <w:rPr>
          <w:b/>
          <w:color w:val="FF0000"/>
        </w:rPr>
        <w:t xml:space="preserve">person or group responsible for policy at </w:t>
      </w:r>
      <w:r w:rsidR="0019142C">
        <w:rPr>
          <w:b/>
          <w:color w:val="FF0000"/>
        </w:rPr>
        <w:t>Utility</w:t>
      </w:r>
      <w:r w:rsidRPr="00EF5CC3">
        <w:rPr>
          <w:color w:val="FF0000"/>
        </w:rPr>
        <w:t>&gt;</w:t>
      </w:r>
      <w:r w:rsidRPr="009608A9">
        <w:t xml:space="preserve"> minimum baseline standards) system patches installed to protect the asset from known vulnerabiliti</w:t>
      </w:r>
      <w:r>
        <w:t>es.  This includes updating applications, operating systems and firmware as required</w:t>
      </w:r>
      <w:r w:rsidRPr="00EF5CC3">
        <w:rPr>
          <w:b/>
        </w:rPr>
        <w:t>.</w:t>
      </w:r>
      <w:r>
        <w:t xml:space="preserve"> </w:t>
      </w:r>
      <w:r w:rsidR="009C37EF">
        <w:t xml:space="preserve"> </w:t>
      </w:r>
      <w:r>
        <w:t>Patching priority is adjusted according to severity level of the vulnerability which the patch addresses.</w:t>
      </w:r>
      <w:r>
        <w:br/>
      </w:r>
    </w:p>
    <w:p w14:paraId="22EA0034" w14:textId="77777777" w:rsidR="00E8301C" w:rsidRPr="005A61E1" w:rsidRDefault="00E8301C" w:rsidP="009333B8">
      <w:pPr>
        <w:pStyle w:val="ListParagraph"/>
        <w:keepNext/>
        <w:keepLines/>
        <w:numPr>
          <w:ilvl w:val="0"/>
          <w:numId w:val="83"/>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0616A15D" w14:textId="77777777" w:rsidR="00E8301C" w:rsidRPr="005A61E1" w:rsidRDefault="00E8301C" w:rsidP="009333B8">
      <w:pPr>
        <w:pStyle w:val="ListParagraph"/>
        <w:keepNext/>
        <w:keepLines/>
        <w:numPr>
          <w:ilvl w:val="0"/>
          <w:numId w:val="83"/>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D39116D" w14:textId="77777777" w:rsidR="00E8301C" w:rsidRPr="005A61E1" w:rsidRDefault="00E8301C" w:rsidP="009333B8">
      <w:pPr>
        <w:pStyle w:val="ListParagraph"/>
        <w:keepNext/>
        <w:keepLines/>
        <w:numPr>
          <w:ilvl w:val="0"/>
          <w:numId w:val="83"/>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015E559F" w14:textId="77777777" w:rsidR="00E8301C" w:rsidRDefault="00E8301C" w:rsidP="00846212">
      <w:pPr>
        <w:pStyle w:val="Heading2"/>
        <w:ind w:left="1080" w:hanging="720"/>
        <w:rPr>
          <w:rFonts w:eastAsia="Calibri Light"/>
          <w:u w:color="1F4E79"/>
        </w:rPr>
      </w:pPr>
      <w:r>
        <w:rPr>
          <w:rFonts w:eastAsia="Calibri Light"/>
          <w:u w:color="1F4E79"/>
        </w:rPr>
        <w:t>Patching Priority</w:t>
      </w:r>
    </w:p>
    <w:p w14:paraId="1770F942" w14:textId="07F372CF" w:rsidR="009C37EF" w:rsidRDefault="00E8301C" w:rsidP="00846212">
      <w:pPr>
        <w:ind w:left="360"/>
      </w:pPr>
      <w:r w:rsidRPr="00192106">
        <w:t xml:space="preserve">Patch management must be prioritized based on the severity of the vulnerability the patch addresses.  In most cases, severity ratings are based on the Common Vulnerability Scoring System (CVSS). </w:t>
      </w:r>
      <w:r w:rsidR="009F47AA" w:rsidRPr="00B15433">
        <w:rPr>
          <w:i/>
        </w:rPr>
        <w:t>See more information about CVSS in the Glossary section.</w:t>
      </w:r>
    </w:p>
    <w:p w14:paraId="1B077221" w14:textId="4F656A19" w:rsidR="00E8301C" w:rsidRDefault="00E8301C" w:rsidP="00846212">
      <w:pPr>
        <w:ind w:left="360"/>
      </w:pPr>
      <w:r>
        <w:lastRenderedPageBreak/>
        <w:br/>
      </w:r>
      <w:r w:rsidRPr="00192106">
        <w:t xml:space="preserve">A CVSS score of 7-10 is considered a </w:t>
      </w:r>
      <w:r w:rsidR="00405046">
        <w:t>Priority 1</w:t>
      </w:r>
      <w:r w:rsidRPr="00192106">
        <w:t xml:space="preserve"> vulnerability, a CVSS score of 4-6.9 is considered a </w:t>
      </w:r>
      <w:r w:rsidR="00405046">
        <w:t>Priority 2</w:t>
      </w:r>
      <w:r w:rsidRPr="00192106">
        <w:t xml:space="preserve"> vulnerability and a CVSS of 0</w:t>
      </w:r>
      <w:r w:rsidR="007C4EC1">
        <w:t>.1</w:t>
      </w:r>
      <w:r w:rsidRPr="00192106">
        <w:t>-3.9</w:t>
      </w:r>
      <w:r>
        <w:t xml:space="preserve"> is considered a </w:t>
      </w:r>
      <w:r w:rsidR="007C4EC1">
        <w:t>Priority 3</w:t>
      </w:r>
      <w:r>
        <w:t>.</w:t>
      </w:r>
    </w:p>
    <w:tbl>
      <w:tblPr>
        <w:tblStyle w:val="ListTable3-Accent11"/>
        <w:tblW w:w="0" w:type="auto"/>
        <w:jc w:val="center"/>
        <w:tblBorders>
          <w:insideH w:val="single" w:sz="4" w:space="0" w:color="629DD1" w:themeColor="accent1"/>
          <w:insideV w:val="single" w:sz="4" w:space="0" w:color="629DD1" w:themeColor="accent1"/>
        </w:tblBorders>
        <w:tblLook w:val="04A0" w:firstRow="1" w:lastRow="0" w:firstColumn="1" w:lastColumn="0" w:noHBand="0" w:noVBand="1"/>
      </w:tblPr>
      <w:tblGrid>
        <w:gridCol w:w="1278"/>
        <w:gridCol w:w="1980"/>
        <w:gridCol w:w="3420"/>
      </w:tblGrid>
      <w:tr w:rsidR="00E8301C" w14:paraId="14987E63" w14:textId="77777777" w:rsidTr="00E8301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8" w:type="dxa"/>
          </w:tcPr>
          <w:p w14:paraId="07B22CC4" w14:textId="77777777" w:rsidR="00E8301C" w:rsidRDefault="00E8301C" w:rsidP="004B5994">
            <w:pPr>
              <w:jc w:val="center"/>
            </w:pPr>
            <w:r>
              <w:t>Priority</w:t>
            </w:r>
          </w:p>
        </w:tc>
        <w:tc>
          <w:tcPr>
            <w:tcW w:w="1980" w:type="dxa"/>
          </w:tcPr>
          <w:p w14:paraId="596C12D6" w14:textId="77777777" w:rsidR="00E8301C" w:rsidRDefault="00E8301C" w:rsidP="004B5994">
            <w:pPr>
              <w:jc w:val="center"/>
              <w:cnfStyle w:val="100000000000" w:firstRow="1" w:lastRow="0" w:firstColumn="0" w:lastColumn="0" w:oddVBand="0" w:evenVBand="0" w:oddHBand="0" w:evenHBand="0" w:firstRowFirstColumn="0" w:firstRowLastColumn="0" w:lastRowFirstColumn="0" w:lastRowLastColumn="0"/>
            </w:pPr>
            <w:r>
              <w:t>CVSS Score</w:t>
            </w:r>
          </w:p>
        </w:tc>
        <w:tc>
          <w:tcPr>
            <w:tcW w:w="3420" w:type="dxa"/>
          </w:tcPr>
          <w:p w14:paraId="221B83B5" w14:textId="77777777" w:rsidR="00E8301C" w:rsidRDefault="00E8301C" w:rsidP="004B5994">
            <w:pPr>
              <w:cnfStyle w:val="100000000000" w:firstRow="1" w:lastRow="0" w:firstColumn="0" w:lastColumn="0" w:oddVBand="0" w:evenVBand="0" w:oddHBand="0" w:evenHBand="0" w:firstRowFirstColumn="0" w:firstRowLastColumn="0" w:lastRowFirstColumn="0" w:lastRowLastColumn="0"/>
            </w:pPr>
            <w:r>
              <w:t>Patching Completion</w:t>
            </w:r>
          </w:p>
        </w:tc>
      </w:tr>
      <w:tr w:rsidR="00E8301C" w14:paraId="27631421" w14:textId="77777777" w:rsidTr="00E830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39356851" w14:textId="77777777" w:rsidR="00E8301C" w:rsidRDefault="00E8301C" w:rsidP="004B5994">
            <w:pPr>
              <w:jc w:val="center"/>
            </w:pPr>
            <w:r>
              <w:t>1</w:t>
            </w:r>
          </w:p>
        </w:tc>
        <w:tc>
          <w:tcPr>
            <w:tcW w:w="1980" w:type="dxa"/>
          </w:tcPr>
          <w:p w14:paraId="50EFC8C9" w14:textId="77777777" w:rsidR="00E8301C" w:rsidRDefault="00E8301C" w:rsidP="004B5994">
            <w:pPr>
              <w:jc w:val="center"/>
              <w:cnfStyle w:val="000000100000" w:firstRow="0" w:lastRow="0" w:firstColumn="0" w:lastColumn="0" w:oddVBand="0" w:evenVBand="0" w:oddHBand="1" w:evenHBand="0" w:firstRowFirstColumn="0" w:firstRowLastColumn="0" w:lastRowFirstColumn="0" w:lastRowLastColumn="0"/>
            </w:pPr>
            <w:r>
              <w:t>7 - 10</w:t>
            </w:r>
          </w:p>
        </w:tc>
        <w:tc>
          <w:tcPr>
            <w:tcW w:w="3420" w:type="dxa"/>
          </w:tcPr>
          <w:p w14:paraId="19F6AD4D" w14:textId="77777777" w:rsidR="00E8301C" w:rsidRDefault="00E8301C" w:rsidP="004B5994">
            <w:pPr>
              <w:cnfStyle w:val="000000100000" w:firstRow="0" w:lastRow="0" w:firstColumn="0" w:lastColumn="0" w:oddVBand="0" w:evenVBand="0" w:oddHBand="1" w:evenHBand="0" w:firstRowFirstColumn="0" w:firstRowLastColumn="0" w:lastRowFirstColumn="0" w:lastRowLastColumn="0"/>
            </w:pPr>
            <w:r>
              <w:t>Max 2 weeks</w:t>
            </w:r>
          </w:p>
        </w:tc>
      </w:tr>
      <w:tr w:rsidR="00E8301C" w14:paraId="28A7D326" w14:textId="77777777" w:rsidTr="00E8301C">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1F07EF76" w14:textId="77777777" w:rsidR="00E8301C" w:rsidRDefault="00E8301C" w:rsidP="004B5994">
            <w:pPr>
              <w:jc w:val="center"/>
            </w:pPr>
            <w:r>
              <w:t>2</w:t>
            </w:r>
          </w:p>
        </w:tc>
        <w:tc>
          <w:tcPr>
            <w:tcW w:w="1980" w:type="dxa"/>
          </w:tcPr>
          <w:p w14:paraId="0E7A418F" w14:textId="77777777" w:rsidR="00E8301C" w:rsidRDefault="00E8301C" w:rsidP="004B5994">
            <w:pPr>
              <w:jc w:val="center"/>
              <w:cnfStyle w:val="000000000000" w:firstRow="0" w:lastRow="0" w:firstColumn="0" w:lastColumn="0" w:oddVBand="0" w:evenVBand="0" w:oddHBand="0" w:evenHBand="0" w:firstRowFirstColumn="0" w:firstRowLastColumn="0" w:lastRowFirstColumn="0" w:lastRowLastColumn="0"/>
            </w:pPr>
            <w:r>
              <w:t>4 – 6.9</w:t>
            </w:r>
          </w:p>
        </w:tc>
        <w:tc>
          <w:tcPr>
            <w:tcW w:w="3420" w:type="dxa"/>
          </w:tcPr>
          <w:p w14:paraId="0331CD91" w14:textId="77777777" w:rsidR="00E8301C" w:rsidRDefault="00E8301C" w:rsidP="004B5994">
            <w:pPr>
              <w:cnfStyle w:val="000000000000" w:firstRow="0" w:lastRow="0" w:firstColumn="0" w:lastColumn="0" w:oddVBand="0" w:evenVBand="0" w:oddHBand="0" w:evenHBand="0" w:firstRowFirstColumn="0" w:firstRowLastColumn="0" w:lastRowFirstColumn="0" w:lastRowLastColumn="0"/>
            </w:pPr>
            <w:r>
              <w:t>Max 4 weeks</w:t>
            </w:r>
          </w:p>
        </w:tc>
      </w:tr>
      <w:tr w:rsidR="00E8301C" w14:paraId="54791373" w14:textId="77777777" w:rsidTr="00E830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495C175F" w14:textId="77777777" w:rsidR="00E8301C" w:rsidRDefault="00E8301C" w:rsidP="004B5994">
            <w:pPr>
              <w:jc w:val="center"/>
            </w:pPr>
            <w:r>
              <w:t>3</w:t>
            </w:r>
          </w:p>
        </w:tc>
        <w:tc>
          <w:tcPr>
            <w:tcW w:w="1980" w:type="dxa"/>
          </w:tcPr>
          <w:p w14:paraId="6CF97BB0" w14:textId="58A58F6F" w:rsidR="00E8301C" w:rsidRDefault="007C4EC1" w:rsidP="004B5994">
            <w:pPr>
              <w:jc w:val="center"/>
              <w:cnfStyle w:val="000000100000" w:firstRow="0" w:lastRow="0" w:firstColumn="0" w:lastColumn="0" w:oddVBand="0" w:evenVBand="0" w:oddHBand="1" w:evenHBand="0" w:firstRowFirstColumn="0" w:firstRowLastColumn="0" w:lastRowFirstColumn="0" w:lastRowLastColumn="0"/>
            </w:pPr>
            <w:r>
              <w:t>0</w:t>
            </w:r>
            <w:r w:rsidR="00E8301C">
              <w:t>.1 – 3.9</w:t>
            </w:r>
          </w:p>
        </w:tc>
        <w:tc>
          <w:tcPr>
            <w:tcW w:w="3420" w:type="dxa"/>
          </w:tcPr>
          <w:p w14:paraId="3A0B0985" w14:textId="77777777" w:rsidR="00E8301C" w:rsidRDefault="00E8301C" w:rsidP="004B5994">
            <w:pPr>
              <w:cnfStyle w:val="000000100000" w:firstRow="0" w:lastRow="0" w:firstColumn="0" w:lastColumn="0" w:oddVBand="0" w:evenVBand="0" w:oddHBand="1" w:evenHBand="0" w:firstRowFirstColumn="0" w:firstRowLastColumn="0" w:lastRowFirstColumn="0" w:lastRowLastColumn="0"/>
            </w:pPr>
            <w:r>
              <w:t>Next patching cycle (3-6 months)</w:t>
            </w:r>
          </w:p>
        </w:tc>
      </w:tr>
      <w:tr w:rsidR="00E8301C" w14:paraId="7139CF59" w14:textId="77777777" w:rsidTr="00E8301C">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43EBFE57" w14:textId="77777777" w:rsidR="00E8301C" w:rsidRDefault="00E8301C" w:rsidP="004B5994">
            <w:pPr>
              <w:jc w:val="center"/>
            </w:pPr>
            <w:r>
              <w:t>4</w:t>
            </w:r>
          </w:p>
        </w:tc>
        <w:tc>
          <w:tcPr>
            <w:tcW w:w="1980" w:type="dxa"/>
          </w:tcPr>
          <w:p w14:paraId="4F892818" w14:textId="77777777" w:rsidR="00E8301C" w:rsidRDefault="00E8301C" w:rsidP="004B5994">
            <w:pPr>
              <w:jc w:val="center"/>
              <w:cnfStyle w:val="000000000000" w:firstRow="0" w:lastRow="0" w:firstColumn="0" w:lastColumn="0" w:oddVBand="0" w:evenVBand="0" w:oddHBand="0" w:evenHBand="0" w:firstRowFirstColumn="0" w:firstRowLastColumn="0" w:lastRowFirstColumn="0" w:lastRowLastColumn="0"/>
            </w:pPr>
            <w:r>
              <w:t>0</w:t>
            </w:r>
          </w:p>
        </w:tc>
        <w:tc>
          <w:tcPr>
            <w:tcW w:w="3420" w:type="dxa"/>
          </w:tcPr>
          <w:p w14:paraId="5BD40E6A" w14:textId="77777777" w:rsidR="00E8301C" w:rsidRDefault="00E8301C" w:rsidP="004B5994">
            <w:pPr>
              <w:cnfStyle w:val="000000000000" w:firstRow="0" w:lastRow="0" w:firstColumn="0" w:lastColumn="0" w:oddVBand="0" w:evenVBand="0" w:oddHBand="0" w:evenHBand="0" w:firstRowFirstColumn="0" w:firstRowLastColumn="0" w:lastRowFirstColumn="0" w:lastRowLastColumn="0"/>
            </w:pPr>
            <w:r>
              <w:t>Discretionary</w:t>
            </w:r>
          </w:p>
        </w:tc>
      </w:tr>
    </w:tbl>
    <w:p w14:paraId="51D4772D" w14:textId="77777777" w:rsidR="00E8301C" w:rsidRDefault="00E8301C" w:rsidP="004B5994">
      <w:pPr>
        <w:ind w:left="360"/>
      </w:pPr>
      <w:r>
        <w:tab/>
      </w:r>
    </w:p>
    <w:p w14:paraId="5EECDE46" w14:textId="3546BCDD" w:rsidR="00E8301C" w:rsidRPr="004B69F8" w:rsidRDefault="00E8301C" w:rsidP="00846212">
      <w:pPr>
        <w:ind w:left="360"/>
      </w:pPr>
      <w:r>
        <w:t xml:space="preserve">IT Manager can assign </w:t>
      </w:r>
      <w:r w:rsidR="00220C0F">
        <w:t>P</w:t>
      </w:r>
      <w:r>
        <w:t xml:space="preserve">riority 1 </w:t>
      </w:r>
      <w:r w:rsidR="00220C0F">
        <w:t xml:space="preserve">to a vulnerability </w:t>
      </w:r>
      <w:r>
        <w:t xml:space="preserve">if </w:t>
      </w:r>
      <w:r w:rsidR="00220C0F">
        <w:t xml:space="preserve">the </w:t>
      </w:r>
      <w:r>
        <w:t xml:space="preserve">vendor </w:t>
      </w:r>
      <w:r w:rsidR="00E51061">
        <w:t xml:space="preserve">has </w:t>
      </w:r>
      <w:r>
        <w:t xml:space="preserve">issued </w:t>
      </w:r>
      <w:r w:rsidR="00E51061">
        <w:t xml:space="preserve">an </w:t>
      </w:r>
      <w:r>
        <w:t>emergency patch (CVSS might be not published yet) or other information indicate high probability of exploitation.</w:t>
      </w:r>
    </w:p>
    <w:p w14:paraId="401816F8" w14:textId="77777777" w:rsidR="00E8301C" w:rsidRDefault="00E8301C" w:rsidP="00846212">
      <w:pPr>
        <w:pStyle w:val="Heading2"/>
        <w:ind w:left="1080" w:hanging="720"/>
        <w:rPr>
          <w:rFonts w:eastAsia="Calibri Light"/>
          <w:u w:color="1F4E79"/>
        </w:rPr>
      </w:pPr>
      <w:r>
        <w:rPr>
          <w:rFonts w:eastAsia="Calibri Light"/>
          <w:u w:color="1F4E79"/>
        </w:rPr>
        <w:t>Workstations</w:t>
      </w:r>
    </w:p>
    <w:p w14:paraId="77360560" w14:textId="4A327360" w:rsidR="00E8301C" w:rsidRDefault="00E8301C" w:rsidP="00846212">
      <w:pPr>
        <w:ind w:left="360"/>
      </w:pPr>
      <w:r>
        <w:t xml:space="preserve">Desktops, laptops, and tablets must have automatic updates enabled for operating system patches, where available.  This will be the default configuration for all workstations built by </w:t>
      </w:r>
      <w:r w:rsidRPr="00EF5CC3">
        <w:rPr>
          <w:b/>
          <w:color w:val="FF0000"/>
        </w:rPr>
        <w:t>&lt;</w:t>
      </w:r>
      <w:r w:rsidR="0019142C">
        <w:rPr>
          <w:b/>
          <w:color w:val="FF0000"/>
        </w:rPr>
        <w:t>Utility Name</w:t>
      </w:r>
      <w:r w:rsidRPr="00EF5CC3">
        <w:rPr>
          <w:b/>
          <w:color w:val="FF0000"/>
        </w:rPr>
        <w:t>&gt;</w:t>
      </w:r>
      <w:r>
        <w:t xml:space="preserve">.  As possible, all software applications installed on workstations will be set to download and install patches automatically.  Any exception to the policy must be documented and forwarded to the </w:t>
      </w:r>
      <w:r w:rsidRPr="00EF5CC3">
        <w:rPr>
          <w:color w:val="FF0000"/>
        </w:rPr>
        <w:t>&lt;</w:t>
      </w:r>
      <w:r w:rsidRPr="00EF5CC3">
        <w:rPr>
          <w:b/>
          <w:color w:val="FF0000"/>
        </w:rPr>
        <w:t>person or group responsible for policy</w:t>
      </w:r>
      <w:r w:rsidR="00EB268E" w:rsidRPr="00EF5CC3" w:rsidDel="00EB268E">
        <w:rPr>
          <w:b/>
          <w:color w:val="FF0000"/>
        </w:rPr>
        <w:t xml:space="preserve"> </w:t>
      </w:r>
      <w:r w:rsidRPr="00EF5CC3">
        <w:rPr>
          <w:color w:val="FF0000"/>
        </w:rPr>
        <w:t xml:space="preserve">&gt; </w:t>
      </w:r>
      <w:r>
        <w:t>for review.  See Section 4.2 on Exceptions.</w:t>
      </w:r>
    </w:p>
    <w:p w14:paraId="6E79398B" w14:textId="77777777" w:rsidR="00E8301C" w:rsidRDefault="00E8301C" w:rsidP="00846212">
      <w:pPr>
        <w:pStyle w:val="Heading2"/>
        <w:ind w:left="1080" w:hanging="720"/>
        <w:rPr>
          <w:rFonts w:eastAsia="Calibri Light"/>
          <w:u w:color="1F4E79"/>
        </w:rPr>
      </w:pPr>
      <w:r>
        <w:rPr>
          <w:rFonts w:eastAsia="Calibri Light"/>
          <w:u w:color="1F4E79"/>
        </w:rPr>
        <w:t>Servers</w:t>
      </w:r>
    </w:p>
    <w:p w14:paraId="3BA18B7F" w14:textId="06E5CF0B" w:rsidR="00E8301C" w:rsidRDefault="00E8301C" w:rsidP="00846212">
      <w:pPr>
        <w:ind w:left="360"/>
      </w:pPr>
      <w:r>
        <w:t xml:space="preserve">Servers must comply with the minimum baseline requirements that have been approved by the </w:t>
      </w:r>
      <w:r w:rsidRPr="009608A9">
        <w:rPr>
          <w:color w:val="FF0000"/>
        </w:rPr>
        <w:t>&lt;</w:t>
      </w:r>
      <w:r w:rsidRPr="009608A9">
        <w:rPr>
          <w:b/>
          <w:color w:val="FF0000"/>
        </w:rPr>
        <w:t xml:space="preserve">person or group responsible for policy </w:t>
      </w:r>
      <w:r w:rsidRPr="009608A9">
        <w:rPr>
          <w:color w:val="FF0000"/>
        </w:rPr>
        <w:t>&gt;</w:t>
      </w:r>
      <w:r>
        <w:t xml:space="preserve">.  These minimum baseline requirements define the default operating system level, service pack, hotfix, and patch level required to ensure the security of the </w:t>
      </w:r>
      <w:r w:rsidRPr="009608A9">
        <w:rPr>
          <w:b/>
          <w:color w:val="FF0000"/>
        </w:rPr>
        <w:t>&lt;</w:t>
      </w:r>
      <w:r w:rsidR="0019142C">
        <w:rPr>
          <w:b/>
          <w:color w:val="FF0000"/>
        </w:rPr>
        <w:t>Utility Name</w:t>
      </w:r>
      <w:r w:rsidRPr="009608A9">
        <w:rPr>
          <w:b/>
          <w:color w:val="FF0000"/>
        </w:rPr>
        <w:t>&gt;</w:t>
      </w:r>
      <w:r w:rsidRPr="009608A9">
        <w:rPr>
          <w:color w:val="FF0000"/>
        </w:rPr>
        <w:t xml:space="preserve"> </w:t>
      </w:r>
      <w:r>
        <w:t xml:space="preserve">server and the data that resides on it.  Any exception to the policy must be documented and forwarded to the </w:t>
      </w:r>
      <w:r w:rsidRPr="009608A9">
        <w:rPr>
          <w:color w:val="FF0000"/>
        </w:rPr>
        <w:t>&lt;</w:t>
      </w:r>
      <w:r w:rsidRPr="009608A9">
        <w:rPr>
          <w:b/>
          <w:color w:val="FF0000"/>
        </w:rPr>
        <w:t>person or group responsible for policy</w:t>
      </w:r>
      <w:r w:rsidR="00EB268E" w:rsidRPr="009608A9" w:rsidDel="00EB268E">
        <w:rPr>
          <w:b/>
          <w:color w:val="FF0000"/>
        </w:rPr>
        <w:t xml:space="preserve"> </w:t>
      </w:r>
      <w:r w:rsidRPr="009608A9">
        <w:rPr>
          <w:color w:val="FF0000"/>
        </w:rPr>
        <w:t>&gt;</w:t>
      </w:r>
      <w:r>
        <w:t xml:space="preserve"> for review.</w:t>
      </w:r>
    </w:p>
    <w:p w14:paraId="3F7166AC" w14:textId="77777777" w:rsidR="00E8301C" w:rsidRDefault="00E8301C" w:rsidP="00846212">
      <w:pPr>
        <w:pStyle w:val="Heading2"/>
        <w:ind w:left="1080" w:hanging="720"/>
        <w:rPr>
          <w:rFonts w:eastAsia="Calibri Light"/>
          <w:u w:color="1F4E79"/>
        </w:rPr>
      </w:pPr>
      <w:r>
        <w:rPr>
          <w:rFonts w:eastAsia="Calibri Light"/>
          <w:u w:color="1F4E79"/>
        </w:rPr>
        <w:t>Roles and responsibilities</w:t>
      </w:r>
    </w:p>
    <w:p w14:paraId="7C7C9EA9" w14:textId="26159F46" w:rsidR="00E8301C" w:rsidRPr="00377F9A" w:rsidRDefault="00E8301C" w:rsidP="00846212">
      <w:pPr>
        <w:ind w:left="360"/>
      </w:pPr>
      <w:r>
        <w:t>IT Manager</w:t>
      </w:r>
      <w:r w:rsidR="00890548">
        <w:t xml:space="preserve"> shall</w:t>
      </w:r>
      <w:r>
        <w:t xml:space="preserve"> use </w:t>
      </w:r>
      <w:r w:rsidR="00890548">
        <w:t xml:space="preserve">the </w:t>
      </w:r>
      <w:r w:rsidRPr="00E709A6">
        <w:rPr>
          <w:i/>
        </w:rPr>
        <w:t>Systems Patching Form</w:t>
      </w:r>
      <w:r>
        <w:t xml:space="preserve"> to assign responsibility for patching:</w:t>
      </w:r>
    </w:p>
    <w:p w14:paraId="53DFB2DA" w14:textId="75C84A0A" w:rsidR="00E8301C" w:rsidRDefault="00E8301C" w:rsidP="009333B8">
      <w:pPr>
        <w:pStyle w:val="ListParagraph"/>
        <w:numPr>
          <w:ilvl w:val="0"/>
          <w:numId w:val="84"/>
        </w:numPr>
        <w:ind w:left="810"/>
      </w:pPr>
      <w:r>
        <w:t>Unix/Linux servers on the network</w:t>
      </w:r>
      <w:r w:rsidR="00890548">
        <w:t>,</w:t>
      </w:r>
    </w:p>
    <w:p w14:paraId="47DD3FF8" w14:textId="1FCD6715" w:rsidR="00E8301C" w:rsidRDefault="00E8301C" w:rsidP="009333B8">
      <w:pPr>
        <w:pStyle w:val="ListParagraph"/>
        <w:numPr>
          <w:ilvl w:val="0"/>
          <w:numId w:val="84"/>
        </w:numPr>
        <w:ind w:left="810"/>
      </w:pPr>
      <w:r>
        <w:t>Microsoft Windows servers on the network</w:t>
      </w:r>
      <w:r w:rsidR="00890548">
        <w:t>,</w:t>
      </w:r>
    </w:p>
    <w:p w14:paraId="0DEBE0B8" w14:textId="25F85770" w:rsidR="00E8301C" w:rsidRDefault="00E8301C" w:rsidP="009333B8">
      <w:pPr>
        <w:pStyle w:val="ListParagraph"/>
        <w:numPr>
          <w:ilvl w:val="0"/>
          <w:numId w:val="84"/>
        </w:numPr>
        <w:ind w:left="810"/>
      </w:pPr>
      <w:r>
        <w:t>Workstations on the network</w:t>
      </w:r>
      <w:r w:rsidR="00890548">
        <w:t>,</w:t>
      </w:r>
    </w:p>
    <w:p w14:paraId="2D189B3B" w14:textId="38746C8D" w:rsidR="00E8301C" w:rsidRPr="00E709A6" w:rsidRDefault="00E8301C" w:rsidP="009333B8">
      <w:pPr>
        <w:pStyle w:val="ListParagraph"/>
        <w:numPr>
          <w:ilvl w:val="0"/>
          <w:numId w:val="84"/>
        </w:numPr>
        <w:ind w:left="810"/>
      </w:pPr>
      <w:r w:rsidRPr="00E709A6">
        <w:t>Applications</w:t>
      </w:r>
      <w:r w:rsidR="00890548">
        <w:t>.</w:t>
      </w:r>
      <w:r w:rsidRPr="00E709A6">
        <w:t xml:space="preserve"> </w:t>
      </w:r>
    </w:p>
    <w:p w14:paraId="2407FC9A" w14:textId="77777777" w:rsidR="00E8301C" w:rsidRDefault="00E8301C" w:rsidP="00846212">
      <w:pPr>
        <w:ind w:left="360"/>
      </w:pPr>
      <w:r w:rsidRPr="00E709A6">
        <w:t xml:space="preserve">IT Manager </w:t>
      </w:r>
      <w:r>
        <w:t xml:space="preserve">is responsible for routinely assessing compliance with the patching policy and will provide guidance to all groups in issues of security and patch management. </w:t>
      </w:r>
    </w:p>
    <w:p w14:paraId="61727570" w14:textId="60A8D430" w:rsidR="00E8301C" w:rsidRDefault="008779C9" w:rsidP="00846212">
      <w:pPr>
        <w:ind w:left="360"/>
      </w:pPr>
      <w:r>
        <w:t xml:space="preserve">The </w:t>
      </w:r>
      <w:r w:rsidR="00E8301C" w:rsidRPr="00E709A6">
        <w:t xml:space="preserve">System Patching Form </w:t>
      </w:r>
      <w:r w:rsidR="00E8301C">
        <w:t>is also used for:</w:t>
      </w:r>
    </w:p>
    <w:p w14:paraId="7F102D30" w14:textId="3772EACA" w:rsidR="00E8301C" w:rsidRDefault="00E8301C" w:rsidP="009333B8">
      <w:pPr>
        <w:pStyle w:val="ListParagraph"/>
        <w:numPr>
          <w:ilvl w:val="0"/>
          <w:numId w:val="86"/>
        </w:numPr>
        <w:ind w:left="720"/>
      </w:pPr>
      <w:r>
        <w:t>Approving emergency patches (no CVSS score)</w:t>
      </w:r>
      <w:r w:rsidR="00867347">
        <w:t>,</w:t>
      </w:r>
    </w:p>
    <w:p w14:paraId="2AA29309" w14:textId="4EA6177B" w:rsidR="00E8301C" w:rsidRPr="00E709A6" w:rsidRDefault="00E8301C" w:rsidP="009333B8">
      <w:pPr>
        <w:pStyle w:val="ListParagraph"/>
        <w:numPr>
          <w:ilvl w:val="0"/>
          <w:numId w:val="86"/>
        </w:numPr>
        <w:ind w:left="720"/>
      </w:pPr>
      <w:r>
        <w:lastRenderedPageBreak/>
        <w:t xml:space="preserve">Reporting applied patches </w:t>
      </w:r>
      <w:r>
        <w:br/>
        <w:t>(if reports are not collected by log management system)</w:t>
      </w:r>
      <w:r w:rsidR="00867347">
        <w:t>.</w:t>
      </w:r>
    </w:p>
    <w:p w14:paraId="39EF78D7" w14:textId="77777777" w:rsidR="00E8301C" w:rsidRDefault="00E8301C" w:rsidP="00846212">
      <w:pPr>
        <w:pStyle w:val="Heading2"/>
        <w:ind w:left="1080" w:hanging="720"/>
        <w:rPr>
          <w:rFonts w:eastAsia="Calibri Light"/>
          <w:u w:color="1F4E79"/>
        </w:rPr>
      </w:pPr>
      <w:r>
        <w:rPr>
          <w:rFonts w:eastAsia="Calibri Light"/>
          <w:u w:color="1F4E79"/>
        </w:rPr>
        <w:t>Monitoring and reporting</w:t>
      </w:r>
    </w:p>
    <w:p w14:paraId="32FBAF44" w14:textId="433F301D" w:rsidR="00E8301C" w:rsidRDefault="00E8301C" w:rsidP="00846212">
      <w:pPr>
        <w:ind w:left="360"/>
      </w:pPr>
      <w:r>
        <w:t xml:space="preserve">Active patching teams noted in </w:t>
      </w:r>
      <w:r w:rsidR="00867347">
        <w:t>S</w:t>
      </w:r>
      <w:r>
        <w:t>ection 3.3 are required to compile and maintain reporting metrics that summarize the outcome of each patching cycle.  These reports shall be used to evaluate the current patching levels of all systems and to assess the current level of risk.  These reports shall be made available to Information Security and Internal Audit personnel upon request.</w:t>
      </w:r>
    </w:p>
    <w:p w14:paraId="7C7F9167" w14:textId="77777777" w:rsidR="00E8301C" w:rsidRDefault="00E8301C" w:rsidP="00E8301C">
      <w:pPr>
        <w:pStyle w:val="Heading1"/>
      </w:pPr>
      <w:r>
        <w:t>Compliance</w:t>
      </w:r>
    </w:p>
    <w:p w14:paraId="44FA041E" w14:textId="77777777" w:rsidR="00E8301C" w:rsidRDefault="00E8301C" w:rsidP="00846212">
      <w:pPr>
        <w:pStyle w:val="Heading2"/>
        <w:ind w:left="1080" w:hanging="720"/>
      </w:pPr>
      <w:r w:rsidRPr="00EB634D">
        <w:t>Compliance</w:t>
      </w:r>
      <w:r>
        <w:t xml:space="preserve"> </w:t>
      </w:r>
      <w:r w:rsidRPr="00EB634D">
        <w:t>Measurement</w:t>
      </w:r>
    </w:p>
    <w:p w14:paraId="467CDBB9" w14:textId="17D0587B" w:rsidR="00E8301C" w:rsidRDefault="00E8301C" w:rsidP="00846212">
      <w:pPr>
        <w:ind w:left="360"/>
      </w:pPr>
      <w:r w:rsidRPr="0048187D">
        <w:t xml:space="preserve">The </w:t>
      </w:r>
      <w:r w:rsidRPr="0048187D">
        <w:rPr>
          <w:color w:val="FF0000"/>
        </w:rPr>
        <w:t>&lt;</w:t>
      </w:r>
      <w:r w:rsidRPr="0048187D">
        <w:rPr>
          <w:b/>
          <w:color w:val="FF0000"/>
        </w:rPr>
        <w:t>person or group responsible for policy</w:t>
      </w:r>
      <w:r w:rsidR="00EB268E" w:rsidRPr="0048187D" w:rsidDel="00EB268E">
        <w:rPr>
          <w:b/>
          <w:color w:val="FF0000"/>
        </w:rPr>
        <w:t xml:space="preserve"> </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3F062678" w14:textId="77777777" w:rsidR="00E8301C" w:rsidRDefault="00E8301C" w:rsidP="00846212">
      <w:pPr>
        <w:pStyle w:val="Heading2"/>
        <w:ind w:left="1080" w:hanging="720"/>
      </w:pPr>
      <w:r w:rsidRPr="00EB634D">
        <w:t>Exceptions</w:t>
      </w:r>
    </w:p>
    <w:p w14:paraId="69FE9066" w14:textId="44599642" w:rsidR="00E8301C" w:rsidRDefault="00E8301C" w:rsidP="00846212">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00EB268E" w:rsidRPr="0048187D" w:rsidDel="00EB268E">
        <w:rPr>
          <w:b/>
          <w:color w:val="FF0000"/>
        </w:rPr>
        <w:t xml:space="preserve"> </w:t>
      </w:r>
      <w:r w:rsidRPr="0048187D">
        <w:rPr>
          <w:color w:val="FF0000"/>
        </w:rPr>
        <w:t>&gt;</w:t>
      </w:r>
      <w:r w:rsidRPr="0048187D">
        <w:t xml:space="preserve"> in advance.</w:t>
      </w:r>
    </w:p>
    <w:p w14:paraId="65F68BD8" w14:textId="77777777" w:rsidR="00E8301C" w:rsidRDefault="00E8301C" w:rsidP="00846212">
      <w:pPr>
        <w:pStyle w:val="Heading2"/>
        <w:ind w:left="1080" w:hanging="720"/>
      </w:pPr>
      <w:r>
        <w:t>Non-Compliance</w:t>
      </w:r>
    </w:p>
    <w:p w14:paraId="3E5FC1CC" w14:textId="3D233B2A" w:rsidR="00E8301C" w:rsidRDefault="00E8301C" w:rsidP="00846212">
      <w:pPr>
        <w:ind w:left="360"/>
      </w:pPr>
      <w:r w:rsidRPr="00F550DA">
        <w:t xml:space="preserve">An employee found to have violated this policy may be subject to disciplinary action in accordance with </w:t>
      </w:r>
      <w:r w:rsidR="005507F8" w:rsidRPr="000F09DC">
        <w:rPr>
          <w:b/>
          <w:color w:val="FF0000"/>
          <w:u w:color="000000"/>
        </w:rPr>
        <w:t>&lt;Utility Name&gt;</w:t>
      </w:r>
      <w:r w:rsidR="00465FD7">
        <w:t xml:space="preserve"> HR policies</w:t>
      </w:r>
      <w:r w:rsidRPr="00F550DA">
        <w:t>.</w:t>
      </w:r>
    </w:p>
    <w:p w14:paraId="7A9A9143" w14:textId="77777777" w:rsidR="00E8301C" w:rsidRDefault="00E8301C" w:rsidP="00846212">
      <w:pPr>
        <w:pStyle w:val="Heading1"/>
        <w:ind w:left="360" w:hanging="360"/>
      </w:pPr>
      <w:r>
        <w:t>Related Standards, Policies, and Processes</w:t>
      </w:r>
    </w:p>
    <w:p w14:paraId="16C3B599" w14:textId="175CF2C9" w:rsidR="00E8301C" w:rsidRPr="00764189" w:rsidRDefault="00E8301C" w:rsidP="00E8301C">
      <w:pPr>
        <w:pStyle w:val="ListParagraph"/>
        <w:numPr>
          <w:ilvl w:val="0"/>
          <w:numId w:val="4"/>
        </w:numPr>
      </w:pPr>
      <w:r>
        <w:t xml:space="preserve">Adapted from “Cyber Security Policy Framework” </w:t>
      </w:r>
      <w:r w:rsidR="00960C84">
        <w:t>(</w:t>
      </w:r>
      <w:hyperlink r:id="rId10" w:history="1">
        <w:r w:rsidR="00F661A4" w:rsidRPr="00A66525">
          <w:rPr>
            <w:rStyle w:val="Hyperlink"/>
          </w:rPr>
          <w:t>https://www.nreca.coop/wp-content/uploads/2015/09/cyber_security_policy_framework.docx</w:t>
        </w:r>
      </w:hyperlink>
      <w:r w:rsidR="00F661A4">
        <w:t xml:space="preserve">) </w:t>
      </w:r>
      <w:r>
        <w:rPr>
          <w:rStyle w:val="Hyperlink"/>
        </w:rPr>
        <w:br/>
      </w:r>
      <w:r>
        <w:t>Cyber Security Policy Framework was created by the Kentucky Association of Electric Cooperatives (KAEC) Information Technology (IT) Association - Cyber Security Subcommittee.</w:t>
      </w:r>
      <w:r>
        <w:rPr>
          <w:rStyle w:val="Hyperlink"/>
        </w:rPr>
        <w:br/>
      </w:r>
    </w:p>
    <w:p w14:paraId="6D1A649A" w14:textId="095846BC" w:rsidR="00E8301C" w:rsidRPr="00153D01" w:rsidRDefault="00E8301C" w:rsidP="00E8301C">
      <w:pPr>
        <w:pStyle w:val="ListParagraph"/>
        <w:numPr>
          <w:ilvl w:val="0"/>
          <w:numId w:val="4"/>
        </w:numPr>
      </w:pPr>
      <w:r>
        <w:t xml:space="preserve">PCI DSS Requirements </w:t>
      </w:r>
      <w:r w:rsidRPr="002A4213">
        <w:rPr>
          <w:rFonts w:cstheme="minorHAnsi"/>
        </w:rPr>
        <w:t>(</w:t>
      </w:r>
      <w:hyperlink r:id="rId11" w:history="1">
        <w:r w:rsidRPr="00191541">
          <w:rPr>
            <w:rStyle w:val="Hyperlink"/>
            <w:rFonts w:cstheme="minorHAnsi"/>
          </w:rPr>
          <w:t>https://www.pcisecuritystandards.org/document_library</w:t>
        </w:r>
      </w:hyperlink>
      <w:r w:rsidRPr="00191541">
        <w:rPr>
          <w:rFonts w:cstheme="minorHAnsi"/>
          <w:color w:val="000000"/>
        </w:rPr>
        <w:t>)</w:t>
      </w:r>
      <w:r>
        <w:rPr>
          <w:rFonts w:ascii="Segoe UI" w:hAnsi="Segoe UI" w:cs="Segoe UI"/>
          <w:color w:val="000000"/>
          <w:sz w:val="20"/>
          <w:szCs w:val="20"/>
        </w:rPr>
        <w:br/>
      </w:r>
    </w:p>
    <w:p w14:paraId="289266BA" w14:textId="6B8B3D0E" w:rsidR="00E8301C" w:rsidRPr="00E8301C" w:rsidRDefault="00E8301C" w:rsidP="00E8301C">
      <w:pPr>
        <w:pStyle w:val="ListParagraph"/>
        <w:numPr>
          <w:ilvl w:val="0"/>
          <w:numId w:val="4"/>
        </w:numPr>
        <w:rPr>
          <w:rStyle w:val="Hyperlink"/>
          <w:color w:val="auto"/>
          <w:u w:val="none"/>
        </w:rPr>
      </w:pPr>
      <w:r>
        <w:t>FIRST - Forum of Incident Response and Security Teams</w:t>
      </w:r>
      <w:r>
        <w:br/>
      </w:r>
      <w:r w:rsidRPr="00A276F8">
        <w:t>Example of CVSS based Patching Policy</w:t>
      </w:r>
      <w:r>
        <w:br/>
      </w:r>
      <w:r w:rsidR="00960C84">
        <w:rPr>
          <w:rFonts w:cstheme="minorHAnsi"/>
        </w:rPr>
        <w:t>(</w:t>
      </w:r>
      <w:hyperlink r:id="rId12" w:history="1">
        <w:r w:rsidR="00F661A4" w:rsidRPr="00A66525">
          <w:rPr>
            <w:rStyle w:val="Hyperlink"/>
            <w:rFonts w:cstheme="minorHAnsi"/>
          </w:rPr>
          <w:t>https://www.first.org/cvss/cvss-based-patch-policy.pdf</w:t>
        </w:r>
      </w:hyperlink>
      <w:r w:rsidR="00F661A4">
        <w:rPr>
          <w:rStyle w:val="Hyperlink"/>
          <w:color w:val="auto"/>
          <w:u w:val="none"/>
        </w:rPr>
        <w:t xml:space="preserve">) </w:t>
      </w:r>
    </w:p>
    <w:p w14:paraId="137BADF0" w14:textId="55983730" w:rsidR="00557DB8" w:rsidRDefault="00557DB8">
      <w:r>
        <w:br w:type="page"/>
      </w:r>
    </w:p>
    <w:p w14:paraId="0ACC84CA" w14:textId="77777777" w:rsidR="00E8301C" w:rsidRDefault="00E8301C" w:rsidP="00846212">
      <w:pPr>
        <w:pStyle w:val="Heading1"/>
        <w:ind w:left="360" w:hanging="360"/>
      </w:pPr>
      <w:r>
        <w:t>Governance Responsibilities</w:t>
      </w:r>
    </w:p>
    <w:p w14:paraId="6D67F6A4" w14:textId="77777777" w:rsidR="002A4213" w:rsidRPr="002575CF" w:rsidRDefault="002A4213" w:rsidP="002A4213">
      <w:r>
        <w:t>The ISP uses the RACI model for assigning responsibility.</w:t>
      </w:r>
    </w:p>
    <w:p w14:paraId="630F007D" w14:textId="60AEF3FA" w:rsidR="00E8301C" w:rsidRDefault="00E8301C" w:rsidP="004B5994">
      <w:pPr>
        <w:ind w:left="360"/>
      </w:pPr>
    </w:p>
    <w:tbl>
      <w:tblPr>
        <w:tblStyle w:val="GridTable4-Accent21"/>
        <w:tblW w:w="8922" w:type="dxa"/>
        <w:tblLook w:val="04A0" w:firstRow="1" w:lastRow="0" w:firstColumn="1" w:lastColumn="0" w:noHBand="0" w:noVBand="1"/>
      </w:tblPr>
      <w:tblGrid>
        <w:gridCol w:w="2230"/>
        <w:gridCol w:w="2230"/>
        <w:gridCol w:w="2231"/>
        <w:gridCol w:w="2231"/>
      </w:tblGrid>
      <w:tr w:rsidR="00E8301C" w14:paraId="7A4F51A0" w14:textId="77777777" w:rsidTr="001125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30" w:type="dxa"/>
          </w:tcPr>
          <w:p w14:paraId="5192A3B6" w14:textId="77777777" w:rsidR="00E8301C" w:rsidRDefault="00E8301C" w:rsidP="004B5994">
            <w:pPr>
              <w:jc w:val="center"/>
            </w:pPr>
            <w:r w:rsidRPr="0098428F">
              <w:rPr>
                <w:b w:val="0"/>
              </w:rPr>
              <w:t>Responsible</w:t>
            </w:r>
          </w:p>
        </w:tc>
        <w:tc>
          <w:tcPr>
            <w:tcW w:w="2230" w:type="dxa"/>
          </w:tcPr>
          <w:p w14:paraId="019F50F7" w14:textId="77777777" w:rsidR="00E8301C" w:rsidRDefault="00E8301C"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31" w:type="dxa"/>
          </w:tcPr>
          <w:p w14:paraId="57F1D105" w14:textId="77777777" w:rsidR="00E8301C" w:rsidRDefault="00E8301C"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31" w:type="dxa"/>
          </w:tcPr>
          <w:p w14:paraId="72EC9CFC" w14:textId="77777777" w:rsidR="00E8301C" w:rsidRDefault="00E8301C"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E8301C" w14:paraId="7E507E64" w14:textId="77777777" w:rsidTr="001125B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230" w:type="dxa"/>
          </w:tcPr>
          <w:p w14:paraId="4FFB5E7C" w14:textId="77777777" w:rsidR="00E8301C" w:rsidRDefault="00E8301C" w:rsidP="004B5994">
            <w:pPr>
              <w:jc w:val="center"/>
            </w:pPr>
            <w:r>
              <w:br/>
              <w:t>IT Manager</w:t>
            </w:r>
            <w:r>
              <w:br/>
            </w:r>
          </w:p>
        </w:tc>
        <w:tc>
          <w:tcPr>
            <w:tcW w:w="2230" w:type="dxa"/>
          </w:tcPr>
          <w:p w14:paraId="7964A285" w14:textId="77777777" w:rsidR="00E8301C" w:rsidRDefault="00E8301C" w:rsidP="004B5994">
            <w:pPr>
              <w:jc w:val="center"/>
              <w:cnfStyle w:val="000000100000" w:firstRow="0" w:lastRow="0" w:firstColumn="0" w:lastColumn="0" w:oddVBand="0" w:evenVBand="0" w:oddHBand="1" w:evenHBand="0" w:firstRowFirstColumn="0" w:firstRowLastColumn="0" w:lastRowFirstColumn="0" w:lastRowLastColumn="0"/>
            </w:pPr>
          </w:p>
          <w:p w14:paraId="24BBC29A" w14:textId="77777777" w:rsidR="00E8301C" w:rsidRPr="00764189" w:rsidRDefault="00E8301C" w:rsidP="004B5994">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231" w:type="dxa"/>
          </w:tcPr>
          <w:p w14:paraId="52255234" w14:textId="77777777" w:rsidR="00E8301C" w:rsidRDefault="00E8301C" w:rsidP="004B5994">
            <w:pPr>
              <w:jc w:val="center"/>
              <w:cnfStyle w:val="000000100000" w:firstRow="0" w:lastRow="0" w:firstColumn="0" w:lastColumn="0" w:oddVBand="0" w:evenVBand="0" w:oddHBand="1" w:evenHBand="0" w:firstRowFirstColumn="0" w:firstRowLastColumn="0" w:lastRowFirstColumn="0" w:lastRowLastColumn="0"/>
            </w:pPr>
          </w:p>
          <w:p w14:paraId="7CCF80EF" w14:textId="77777777" w:rsidR="00E8301C" w:rsidRPr="00764189" w:rsidRDefault="00E8301C" w:rsidP="004B5994">
            <w:pPr>
              <w:jc w:val="center"/>
              <w:cnfStyle w:val="000000100000" w:firstRow="0" w:lastRow="0" w:firstColumn="0" w:lastColumn="0" w:oddVBand="0" w:evenVBand="0" w:oddHBand="1" w:evenHBand="0" w:firstRowFirstColumn="0" w:firstRowLastColumn="0" w:lastRowFirstColumn="0" w:lastRowLastColumn="0"/>
              <w:rPr>
                <w:b/>
              </w:rPr>
            </w:pPr>
            <w:r>
              <w:rPr>
                <w:b/>
              </w:rPr>
              <w:t>IT Administrator</w:t>
            </w:r>
            <w:r>
              <w:rPr>
                <w:b/>
              </w:rPr>
              <w:br/>
            </w:r>
          </w:p>
        </w:tc>
        <w:tc>
          <w:tcPr>
            <w:tcW w:w="2231" w:type="dxa"/>
          </w:tcPr>
          <w:p w14:paraId="3F924E2E" w14:textId="77777777" w:rsidR="00E8301C" w:rsidRDefault="00E8301C" w:rsidP="004B5994">
            <w:pPr>
              <w:jc w:val="center"/>
              <w:cnfStyle w:val="000000100000" w:firstRow="0" w:lastRow="0" w:firstColumn="0" w:lastColumn="0" w:oddVBand="0" w:evenVBand="0" w:oddHBand="1" w:evenHBand="0" w:firstRowFirstColumn="0" w:firstRowLastColumn="0" w:lastRowFirstColumn="0" w:lastRowLastColumn="0"/>
            </w:pPr>
          </w:p>
          <w:p w14:paraId="6ACE1034" w14:textId="77777777" w:rsidR="00E8301C" w:rsidRPr="00764189" w:rsidRDefault="00E8301C" w:rsidP="004B5994">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710DCAEB" w14:textId="531123BB" w:rsidR="00E8301C" w:rsidRPr="005B13D6" w:rsidRDefault="00E8301C" w:rsidP="004B5994">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392E9EAB" w14:textId="77777777" w:rsidR="00E8301C" w:rsidRDefault="00E8301C" w:rsidP="00846212">
      <w:pPr>
        <w:pStyle w:val="Heading1"/>
        <w:ind w:left="360" w:hanging="360"/>
      </w:pPr>
      <w:r>
        <w:t>Approval</w:t>
      </w:r>
    </w:p>
    <w:p w14:paraId="4C89E55B" w14:textId="77777777" w:rsidR="00E8301C" w:rsidRDefault="00E8301C" w:rsidP="004B5994">
      <w:pPr>
        <w:spacing w:after="0" w:line="240" w:lineRule="auto"/>
      </w:pPr>
    </w:p>
    <w:p w14:paraId="6130A8BA" w14:textId="77777777" w:rsidR="00E8301C" w:rsidRDefault="00E8301C" w:rsidP="004B5994">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22C5CB27" w14:textId="77777777" w:rsidR="00E8301C" w:rsidRDefault="00E8301C" w:rsidP="004B5994">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190F5A02" w14:textId="77777777" w:rsidR="00E8301C" w:rsidRDefault="00E8301C" w:rsidP="004B5994">
      <w:pPr>
        <w:spacing w:after="0" w:line="240" w:lineRule="auto"/>
      </w:pPr>
    </w:p>
    <w:p w14:paraId="7CFCB319" w14:textId="77777777" w:rsidR="00E8301C" w:rsidRDefault="00E8301C" w:rsidP="00846212">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E8301C" w14:paraId="42EBA35C" w14:textId="77777777" w:rsidTr="004B5994">
        <w:tc>
          <w:tcPr>
            <w:tcW w:w="1975" w:type="dxa"/>
          </w:tcPr>
          <w:p w14:paraId="056FC504" w14:textId="77777777" w:rsidR="00E8301C" w:rsidRDefault="00E8301C" w:rsidP="004B5994">
            <w:r>
              <w:t>Date of Change(s)</w:t>
            </w:r>
          </w:p>
        </w:tc>
        <w:tc>
          <w:tcPr>
            <w:tcW w:w="1980" w:type="dxa"/>
          </w:tcPr>
          <w:p w14:paraId="2BE5D28B" w14:textId="77777777" w:rsidR="00E8301C" w:rsidRDefault="00E8301C" w:rsidP="004B5994">
            <w:r>
              <w:t>Revised by</w:t>
            </w:r>
          </w:p>
        </w:tc>
        <w:tc>
          <w:tcPr>
            <w:tcW w:w="5395" w:type="dxa"/>
          </w:tcPr>
          <w:p w14:paraId="2ACAD8CB" w14:textId="77777777" w:rsidR="00E8301C" w:rsidRDefault="00E8301C" w:rsidP="004B5994">
            <w:r>
              <w:t>Summary of Change(s)</w:t>
            </w:r>
          </w:p>
        </w:tc>
      </w:tr>
      <w:tr w:rsidR="00E8301C" w14:paraId="19EAFD03" w14:textId="77777777" w:rsidTr="004B5994">
        <w:tc>
          <w:tcPr>
            <w:tcW w:w="1975" w:type="dxa"/>
          </w:tcPr>
          <w:p w14:paraId="64E6E26D" w14:textId="77777777" w:rsidR="00E8301C" w:rsidRDefault="00E8301C" w:rsidP="004B5994"/>
        </w:tc>
        <w:tc>
          <w:tcPr>
            <w:tcW w:w="1980" w:type="dxa"/>
          </w:tcPr>
          <w:p w14:paraId="08895FEB" w14:textId="77777777" w:rsidR="00E8301C" w:rsidRDefault="00E8301C" w:rsidP="004B5994"/>
        </w:tc>
        <w:tc>
          <w:tcPr>
            <w:tcW w:w="5395" w:type="dxa"/>
          </w:tcPr>
          <w:p w14:paraId="19317890" w14:textId="77777777" w:rsidR="00E8301C" w:rsidRDefault="00E8301C" w:rsidP="004B5994"/>
        </w:tc>
      </w:tr>
      <w:tr w:rsidR="00E8301C" w14:paraId="306762AC" w14:textId="77777777" w:rsidTr="004B5994">
        <w:tc>
          <w:tcPr>
            <w:tcW w:w="1975" w:type="dxa"/>
          </w:tcPr>
          <w:p w14:paraId="66F9279E" w14:textId="77777777" w:rsidR="00E8301C" w:rsidRDefault="00E8301C" w:rsidP="004B5994"/>
        </w:tc>
        <w:tc>
          <w:tcPr>
            <w:tcW w:w="1980" w:type="dxa"/>
          </w:tcPr>
          <w:p w14:paraId="7F71B5D5" w14:textId="77777777" w:rsidR="00E8301C" w:rsidRDefault="00E8301C" w:rsidP="004B5994"/>
        </w:tc>
        <w:tc>
          <w:tcPr>
            <w:tcW w:w="5395" w:type="dxa"/>
          </w:tcPr>
          <w:p w14:paraId="485999A0" w14:textId="77777777" w:rsidR="00E8301C" w:rsidRDefault="00E8301C" w:rsidP="004B5994"/>
        </w:tc>
      </w:tr>
      <w:tr w:rsidR="00E8301C" w14:paraId="5595B65B" w14:textId="77777777" w:rsidTr="004B5994">
        <w:tc>
          <w:tcPr>
            <w:tcW w:w="1975" w:type="dxa"/>
          </w:tcPr>
          <w:p w14:paraId="09412845" w14:textId="77777777" w:rsidR="00E8301C" w:rsidRDefault="00E8301C" w:rsidP="004B5994"/>
        </w:tc>
        <w:tc>
          <w:tcPr>
            <w:tcW w:w="1980" w:type="dxa"/>
          </w:tcPr>
          <w:p w14:paraId="23B292FE" w14:textId="77777777" w:rsidR="00E8301C" w:rsidRDefault="00E8301C" w:rsidP="004B5994"/>
        </w:tc>
        <w:tc>
          <w:tcPr>
            <w:tcW w:w="5395" w:type="dxa"/>
          </w:tcPr>
          <w:p w14:paraId="14BDEF65" w14:textId="77777777" w:rsidR="00E8301C" w:rsidRDefault="00E8301C" w:rsidP="004B5994"/>
        </w:tc>
      </w:tr>
      <w:tr w:rsidR="00E8301C" w14:paraId="080AA89F" w14:textId="77777777" w:rsidTr="004B5994">
        <w:tc>
          <w:tcPr>
            <w:tcW w:w="1975" w:type="dxa"/>
          </w:tcPr>
          <w:p w14:paraId="6B819187" w14:textId="77777777" w:rsidR="00E8301C" w:rsidRDefault="00E8301C" w:rsidP="004B5994"/>
        </w:tc>
        <w:tc>
          <w:tcPr>
            <w:tcW w:w="1980" w:type="dxa"/>
          </w:tcPr>
          <w:p w14:paraId="64B8EB64" w14:textId="77777777" w:rsidR="00E8301C" w:rsidRDefault="00E8301C" w:rsidP="004B5994"/>
        </w:tc>
        <w:tc>
          <w:tcPr>
            <w:tcW w:w="5395" w:type="dxa"/>
          </w:tcPr>
          <w:p w14:paraId="252B4534" w14:textId="77777777" w:rsidR="00E8301C" w:rsidRDefault="00E8301C" w:rsidP="004B5994"/>
        </w:tc>
      </w:tr>
    </w:tbl>
    <w:p w14:paraId="350B6A85" w14:textId="58E0E3D0" w:rsidR="002C2222" w:rsidRDefault="002C2222" w:rsidP="0030416E">
      <w:pPr>
        <w:rPr>
          <w:b/>
        </w:rPr>
      </w:pPr>
    </w:p>
    <w:sectPr w:rsidR="002C2222" w:rsidSect="003A2211">
      <w:headerReference w:type="even" r:id="rId13"/>
      <w:headerReference w:type="default" r:id="rId14"/>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5F762DB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3A2211">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9529D6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2211">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416E"/>
    <w:rsid w:val="00305105"/>
    <w:rsid w:val="0031117A"/>
    <w:rsid w:val="00314755"/>
    <w:rsid w:val="003155C2"/>
    <w:rsid w:val="00315BFB"/>
    <w:rsid w:val="00323998"/>
    <w:rsid w:val="0032633C"/>
    <w:rsid w:val="003333D3"/>
    <w:rsid w:val="00334862"/>
    <w:rsid w:val="00345B95"/>
    <w:rsid w:val="0034623A"/>
    <w:rsid w:val="003543C5"/>
    <w:rsid w:val="00354A30"/>
    <w:rsid w:val="00354C89"/>
    <w:rsid w:val="0037120D"/>
    <w:rsid w:val="00372D26"/>
    <w:rsid w:val="00375B19"/>
    <w:rsid w:val="00377F30"/>
    <w:rsid w:val="00394076"/>
    <w:rsid w:val="0039733E"/>
    <w:rsid w:val="003A113E"/>
    <w:rsid w:val="003A2211"/>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DB8"/>
    <w:rsid w:val="00557F06"/>
    <w:rsid w:val="00560B22"/>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56C"/>
    <w:rsid w:val="007C4EC1"/>
    <w:rsid w:val="007D0BF4"/>
    <w:rsid w:val="007D35A1"/>
    <w:rsid w:val="007D410C"/>
    <w:rsid w:val="007E17F2"/>
    <w:rsid w:val="007E2E91"/>
    <w:rsid w:val="007F4E93"/>
    <w:rsid w:val="007F519A"/>
    <w:rsid w:val="007F62CF"/>
    <w:rsid w:val="007F72A3"/>
    <w:rsid w:val="00804400"/>
    <w:rsid w:val="0080450A"/>
    <w:rsid w:val="0080653C"/>
    <w:rsid w:val="008072B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329F"/>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37C5"/>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rst.org/cvss/cvss-based-patch-polic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document_libra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9DA73-EFAA-4884-9C45-8A2767B9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3</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2016-06-10T15:46:00Z</dcterms:created>
  <dcterms:modified xsi:type="dcterms:W3CDTF">2016-06-10T15:49:00Z</dcterms:modified>
</cp:coreProperties>
</file>