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83E98" w14:textId="0496814B" w:rsidR="004B5994" w:rsidRDefault="004B5994" w:rsidP="004B5994">
      <w:r>
        <w:rPr>
          <w:noProof/>
        </w:rPr>
        <w:drawing>
          <wp:inline distT="0" distB="0" distL="0" distR="0" wp14:anchorId="68B1197A" wp14:editId="54ADFCD5">
            <wp:extent cx="582843" cy="732450"/>
            <wp:effectExtent l="38100" t="38100" r="84455" b="67945"/>
            <wp:docPr id="1073741830" name="Picture 1073741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p>
    <w:p w14:paraId="2E062B8E" w14:textId="77777777" w:rsidR="004B5994" w:rsidRPr="00C94BE7" w:rsidRDefault="004B5994" w:rsidP="004B5994">
      <w:pPr>
        <w:pStyle w:val="Title"/>
        <w:jc w:val="center"/>
      </w:pPr>
      <w:bookmarkStart w:id="0" w:name="_Toc452019035"/>
      <w:bookmarkStart w:id="1" w:name="_Toc453241976"/>
      <w:r w:rsidRPr="004B5994">
        <w:t>Vulnerability</w:t>
      </w:r>
      <w:r w:rsidRPr="00C94BE7">
        <w:t xml:space="preserve"> Management Policy</w:t>
      </w:r>
      <w:bookmarkEnd w:id="0"/>
      <w:bookmarkEnd w:id="1"/>
    </w:p>
    <w:p w14:paraId="3DC1B45D" w14:textId="77777777" w:rsidR="004B5994" w:rsidRPr="00CF575F" w:rsidRDefault="004B5994" w:rsidP="009333B8">
      <w:pPr>
        <w:pStyle w:val="Heading1"/>
        <w:numPr>
          <w:ilvl w:val="0"/>
          <w:numId w:val="93"/>
        </w:numPr>
        <w:ind w:left="360" w:hanging="360"/>
      </w:pPr>
      <w:r w:rsidRPr="00CF575F">
        <w:t>Overview/Purpose</w:t>
      </w:r>
    </w:p>
    <w:p w14:paraId="4B311C17" w14:textId="77777777" w:rsidR="004B5994" w:rsidRDefault="004B5994" w:rsidP="004B5994">
      <w:r w:rsidRPr="00B61D16">
        <w:t>Vulnerability</w:t>
      </w:r>
      <w:r>
        <w:t> management is</w:t>
      </w:r>
      <w:r w:rsidRPr="00B61D16">
        <w:t> an essential component of any information security</w:t>
      </w:r>
      <w:r>
        <w:t xml:space="preserve"> </w:t>
      </w:r>
      <w:r w:rsidRPr="00B61D16">
        <w:t>program</w:t>
      </w:r>
      <w:r>
        <w:t>.</w:t>
      </w:r>
      <w:r w:rsidRPr="00B61D16">
        <w:t> </w:t>
      </w:r>
      <w:r w:rsidRPr="00B61D16" w:rsidDel="00C94BE7">
        <w:t xml:space="preserve"> </w:t>
      </w:r>
      <w:r>
        <w:t>T</w:t>
      </w:r>
      <w:r w:rsidRPr="00B61D16">
        <w:t xml:space="preserve">he process of vulnerability assessment is vital to effective vulnerability management. </w:t>
      </w:r>
    </w:p>
    <w:p w14:paraId="360F830F" w14:textId="77777777" w:rsidR="004B5994" w:rsidRPr="00CF575F" w:rsidRDefault="004B5994" w:rsidP="004B5994">
      <w:pPr>
        <w:pStyle w:val="Heading"/>
      </w:pPr>
      <w:r w:rsidRPr="00CF575F">
        <w:t>Scope</w:t>
      </w:r>
    </w:p>
    <w:p w14:paraId="0C23B516" w14:textId="77777777" w:rsidR="004B5994" w:rsidRDefault="004B5994" w:rsidP="004B5994">
      <w:r w:rsidRPr="00B61D16">
        <w:t xml:space="preserve">Vulnerability assessment consists of scanning </w:t>
      </w:r>
      <w:r>
        <w:t>to identify networked assets,</w:t>
      </w:r>
      <w:r w:rsidRPr="00B61D16">
        <w:t xml:space="preserve"> </w:t>
      </w:r>
      <w:r>
        <w:t>determining</w:t>
      </w:r>
      <w:r w:rsidRPr="00B61D16">
        <w:t xml:space="preserve"> </w:t>
      </w:r>
      <w:r>
        <w:t>potential</w:t>
      </w:r>
      <w:r w:rsidRPr="00B61D16">
        <w:t xml:space="preserve"> </w:t>
      </w:r>
      <w:r>
        <w:t>vulnerabilities,</w:t>
      </w:r>
      <w:r w:rsidRPr="00B61D16">
        <w:t xml:space="preserve"> </w:t>
      </w:r>
      <w:r>
        <w:t>and assessment of</w:t>
      </w:r>
      <w:r w:rsidRPr="00B61D16">
        <w:t xml:space="preserve"> </w:t>
      </w:r>
      <w:r>
        <w:t>potential</w:t>
      </w:r>
      <w:r w:rsidRPr="00B61D16">
        <w:t> </w:t>
      </w:r>
      <w:r>
        <w:t>vulnerabilities.</w:t>
      </w:r>
      <w:r w:rsidRPr="00B61D16">
        <w:t xml:space="preserve"> </w:t>
      </w:r>
      <w:r>
        <w:t>Remediation of</w:t>
      </w:r>
      <w:r w:rsidRPr="00B61D16">
        <w:t xml:space="preserve"> </w:t>
      </w:r>
      <w:r>
        <w:t>the</w:t>
      </w:r>
      <w:r w:rsidRPr="00B61D16">
        <w:t xml:space="preserve"> </w:t>
      </w:r>
      <w:r>
        <w:t>vulnerabilities is another facet of vulnerability management.</w:t>
      </w:r>
    </w:p>
    <w:p w14:paraId="50E6D047" w14:textId="77777777" w:rsidR="004B5994" w:rsidRPr="00A064D6" w:rsidRDefault="004B5994" w:rsidP="004B5994">
      <w:pPr>
        <w:pStyle w:val="Heading"/>
      </w:pPr>
      <w:r w:rsidRPr="00CF575F">
        <w:t>Policy</w:t>
      </w:r>
    </w:p>
    <w:p w14:paraId="41D111FA" w14:textId="77777777" w:rsidR="004B5994" w:rsidRDefault="004B5994" w:rsidP="00905D50">
      <w:pPr>
        <w:pStyle w:val="Heading2"/>
        <w:ind w:left="1080" w:hanging="720"/>
      </w:pPr>
      <w:r w:rsidRPr="004B5994">
        <w:t>Vulnerability</w:t>
      </w:r>
      <w:r>
        <w:t xml:space="preserve"> Reports</w:t>
      </w:r>
    </w:p>
    <w:p w14:paraId="0CAB8A07" w14:textId="77777777" w:rsidR="004B5994" w:rsidRDefault="004B5994" w:rsidP="00905D50">
      <w:pPr>
        <w:ind w:left="360"/>
      </w:pPr>
      <w:r>
        <w:t>All identified vulnerabilities will be assigned a risk ranking from Low to High based on industry best practices such as the CVSS base score. The results of vulnerability reviews will be documented on the vulnerability report. Mitigation actions are prioritize based on vulnerability ranking.</w:t>
      </w:r>
    </w:p>
    <w:p w14:paraId="042E8607" w14:textId="77777777" w:rsidR="004B5994" w:rsidRDefault="004B5994" w:rsidP="00905D50">
      <w:pPr>
        <w:pStyle w:val="Heading2"/>
        <w:ind w:left="1080" w:hanging="720"/>
      </w:pPr>
      <w:r>
        <w:t xml:space="preserve">Vulnerability Scans </w:t>
      </w:r>
      <w:r w:rsidRPr="004B5994">
        <w:t>Frequency</w:t>
      </w:r>
    </w:p>
    <w:p w14:paraId="07D8773D" w14:textId="087D1334" w:rsidR="004B5994" w:rsidRDefault="004B5994" w:rsidP="00905D50">
      <w:pPr>
        <w:ind w:left="360"/>
      </w:pPr>
      <w:r>
        <w:t xml:space="preserve">As part of the PCI DSS Compliance requirements, </w:t>
      </w:r>
      <w:r>
        <w:rPr>
          <w:b/>
          <w:bCs/>
          <w:color w:val="FF0000"/>
          <w:u w:color="FF0000"/>
        </w:rPr>
        <w:t>&lt;</w:t>
      </w:r>
      <w:r w:rsidR="0019142C">
        <w:rPr>
          <w:b/>
          <w:bCs/>
          <w:color w:val="FF0000"/>
          <w:u w:color="FF0000"/>
        </w:rPr>
        <w:t>Utility Name</w:t>
      </w:r>
      <w:r>
        <w:rPr>
          <w:b/>
          <w:bCs/>
          <w:color w:val="FF0000"/>
          <w:u w:color="FF0000"/>
        </w:rPr>
        <w:t>&gt;</w:t>
      </w:r>
      <w:r>
        <w:t xml:space="preserve"> will run internal and external network vulnerability scans at least quarterly, and after any significant change to networks and systems (new application installation, new firewall or router installation, network equipment replacement, new server or workstation installation).</w:t>
      </w:r>
    </w:p>
    <w:p w14:paraId="16631796" w14:textId="415676C0" w:rsidR="004B5994" w:rsidRDefault="004B5994" w:rsidP="00905D50">
      <w:pPr>
        <w:ind w:left="360"/>
      </w:pPr>
      <w:r>
        <w:t xml:space="preserve">Quarterly internal vulnerability scans must be performed by the </w:t>
      </w:r>
      <w:r>
        <w:rPr>
          <w:b/>
          <w:bCs/>
          <w:color w:val="FF0000"/>
          <w:u w:color="FF0000"/>
        </w:rPr>
        <w:t>&lt;</w:t>
      </w:r>
      <w:r w:rsidR="0019142C">
        <w:rPr>
          <w:b/>
          <w:bCs/>
          <w:color w:val="FF0000"/>
          <w:u w:color="FF0000"/>
        </w:rPr>
        <w:t>Utility Name</w:t>
      </w:r>
      <w:r>
        <w:rPr>
          <w:b/>
          <w:bCs/>
          <w:color w:val="FF0000"/>
          <w:u w:color="FF0000"/>
        </w:rPr>
        <w:t>&gt;</w:t>
      </w:r>
      <w:r>
        <w:t xml:space="preserve"> IT department or a 3</w:t>
      </w:r>
      <w:r w:rsidRPr="0047415F">
        <w:rPr>
          <w:vertAlign w:val="superscript"/>
        </w:rPr>
        <w:t>rd</w:t>
      </w:r>
      <w:r>
        <w:t xml:space="preserve"> party vendor. The scan process must include rescans, to be repeated until passing results obtained, or all High vulnerabilities as defined in PCI DSS Requirements 6.2 are resolved.</w:t>
      </w:r>
    </w:p>
    <w:p w14:paraId="728C8059" w14:textId="2D167AD1" w:rsidR="004B5994" w:rsidRPr="0047415F" w:rsidRDefault="004B5994" w:rsidP="00E94665">
      <w:pPr>
        <w:spacing w:after="120"/>
        <w:ind w:left="360"/>
      </w:pPr>
      <w:r>
        <w:t xml:space="preserve">Quarterly external vulnerability scans must be performed by an Approved Scanning Vendor (ASV) qualified by the PCI Security Standards Council (SSC). Scans conducted after </w:t>
      </w:r>
      <w:r>
        <w:lastRenderedPageBreak/>
        <w:t xml:space="preserve">network changes may be performed by </w:t>
      </w:r>
      <w:r>
        <w:rPr>
          <w:b/>
          <w:bCs/>
          <w:color w:val="FF0000"/>
          <w:u w:color="FF0000"/>
        </w:rPr>
        <w:t>&lt;</w:t>
      </w:r>
      <w:r w:rsidR="0019142C">
        <w:rPr>
          <w:b/>
          <w:bCs/>
          <w:color w:val="FF0000"/>
          <w:u w:color="FF0000"/>
        </w:rPr>
        <w:t>Utility Name</w:t>
      </w:r>
      <w:r>
        <w:rPr>
          <w:b/>
          <w:bCs/>
          <w:color w:val="FF0000"/>
          <w:u w:color="FF0000"/>
        </w:rPr>
        <w:t xml:space="preserve">&gt; </w:t>
      </w:r>
      <w:r>
        <w:rPr>
          <w:bCs/>
          <w:u w:color="FF0000"/>
        </w:rPr>
        <w:t>IT department. The scan process should include re-scans until passing results are obtained.</w:t>
      </w:r>
    </w:p>
    <w:p w14:paraId="55D6CAA5" w14:textId="77777777" w:rsidR="004B5994" w:rsidRPr="00CF575F" w:rsidRDefault="004B5994" w:rsidP="00905D50">
      <w:pPr>
        <w:pStyle w:val="Heading1"/>
        <w:ind w:left="360" w:hanging="360"/>
      </w:pPr>
      <w:r w:rsidRPr="00CF575F">
        <w:t>Compliance</w:t>
      </w:r>
    </w:p>
    <w:p w14:paraId="2C290C2F" w14:textId="77777777" w:rsidR="004B5994" w:rsidRDefault="004B5994" w:rsidP="00E94665">
      <w:pPr>
        <w:pStyle w:val="Heading2"/>
        <w:spacing w:before="120"/>
        <w:ind w:left="1080" w:hanging="720"/>
      </w:pPr>
      <w:r w:rsidRPr="00EB634D">
        <w:t>Compliance</w:t>
      </w:r>
      <w:r>
        <w:t xml:space="preserve"> </w:t>
      </w:r>
      <w:r w:rsidRPr="00EB634D">
        <w:t>Measurement</w:t>
      </w:r>
    </w:p>
    <w:p w14:paraId="3DC544A9" w14:textId="6639B2A6" w:rsidR="004B5994" w:rsidRDefault="004B5994" w:rsidP="00E94665">
      <w:pPr>
        <w:spacing w:after="120"/>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53E7DC36" w14:textId="77777777" w:rsidR="004B5994" w:rsidRDefault="004B5994" w:rsidP="00905D50">
      <w:pPr>
        <w:pStyle w:val="Heading2"/>
        <w:ind w:left="1080" w:hanging="720"/>
      </w:pPr>
      <w:r w:rsidRPr="00EB634D">
        <w:t>Exceptions</w:t>
      </w:r>
    </w:p>
    <w:p w14:paraId="00F7F523" w14:textId="4E877321" w:rsidR="004B5994" w:rsidRDefault="004B5994" w:rsidP="00E94665">
      <w:pPr>
        <w:spacing w:after="120"/>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4383FA4F" w14:textId="77777777" w:rsidR="004B5994" w:rsidRDefault="004B5994" w:rsidP="00905D50">
      <w:pPr>
        <w:pStyle w:val="Heading2"/>
        <w:ind w:left="1080" w:hanging="720"/>
      </w:pPr>
      <w:r>
        <w:t>Non-Compliance</w:t>
      </w:r>
    </w:p>
    <w:p w14:paraId="39268430" w14:textId="0537F402" w:rsidR="004B5994" w:rsidRDefault="004B5994" w:rsidP="00E94665">
      <w:pPr>
        <w:spacing w:after="120"/>
        <w:ind w:left="360"/>
      </w:pPr>
      <w:r w:rsidRPr="00155EA3">
        <w:t xml:space="preserve">An employee found to have violated this policy may be subject to disciplinary </w:t>
      </w:r>
      <w:r>
        <w:t xml:space="preserve">action in accordance with </w:t>
      </w:r>
      <w:r w:rsidR="00465FD7" w:rsidRPr="000449B0">
        <w:rPr>
          <w:b/>
          <w:color w:val="FF0000"/>
        </w:rPr>
        <w:t>&lt;Utility Name&gt;</w:t>
      </w:r>
      <w:r w:rsidR="00465FD7">
        <w:t xml:space="preserve"> HR policies</w:t>
      </w:r>
      <w:r>
        <w:t>.</w:t>
      </w:r>
    </w:p>
    <w:p w14:paraId="15AA026D" w14:textId="77777777" w:rsidR="004B5994" w:rsidRPr="00CF575F" w:rsidRDefault="004B5994" w:rsidP="00905D50">
      <w:pPr>
        <w:pStyle w:val="Heading1"/>
        <w:ind w:left="360" w:hanging="360"/>
      </w:pPr>
      <w:r w:rsidRPr="00CF575F">
        <w:t>Related Standards, Policies, and Processes</w:t>
      </w:r>
    </w:p>
    <w:p w14:paraId="362BD309" w14:textId="0A1A936D" w:rsidR="004B5994" w:rsidRPr="00202689" w:rsidRDefault="004B5994" w:rsidP="004B5994">
      <w:pPr>
        <w:pStyle w:val="ListParagraph"/>
        <w:numPr>
          <w:ilvl w:val="0"/>
          <w:numId w:val="4"/>
        </w:numPr>
        <w:spacing w:after="200" w:line="276" w:lineRule="auto"/>
      </w:pPr>
      <w:r>
        <w:t xml:space="preserve">Adopted from </w:t>
      </w:r>
      <w:hyperlink r:id="rId10" w:history="1">
        <w:r w:rsidRPr="0080653C">
          <w:rPr>
            <w:rStyle w:val="Hyperlink"/>
            <w:rFonts w:cstheme="minorHAnsi"/>
          </w:rPr>
          <w:t>https://www.sans.edu/student-files/projects/vulnerability-assessment-policy.pdf</w:t>
        </w:r>
      </w:hyperlink>
    </w:p>
    <w:p w14:paraId="0FF2B439" w14:textId="77777777" w:rsidR="00334862" w:rsidRDefault="00334862" w:rsidP="00334862">
      <w:pPr>
        <w:pStyle w:val="ListParagraph"/>
        <w:numPr>
          <w:ilvl w:val="0"/>
          <w:numId w:val="4"/>
        </w:numPr>
      </w:pPr>
      <w:r>
        <w:t xml:space="preserve">PCI DSS Requirements </w:t>
      </w:r>
      <w:r>
        <w:br/>
      </w:r>
      <w:r>
        <w:rPr>
          <w:rFonts w:cstheme="minorHAnsi"/>
        </w:rPr>
        <w:t>(</w:t>
      </w:r>
      <w:hyperlink r:id="rId11" w:history="1">
        <w:r w:rsidRPr="00A66525">
          <w:rPr>
            <w:rStyle w:val="Hyperlink"/>
            <w:rFonts w:cstheme="minorHAnsi"/>
          </w:rPr>
          <w:t>https://www.pcisecuritystandards.org/document_library</w:t>
        </w:r>
      </w:hyperlink>
      <w:r>
        <w:t xml:space="preserve">) </w:t>
      </w:r>
    </w:p>
    <w:p w14:paraId="57F8D880" w14:textId="77777777" w:rsidR="004B5994" w:rsidRPr="00CF575F" w:rsidRDefault="004B5994" w:rsidP="00905D50">
      <w:pPr>
        <w:pStyle w:val="Heading1"/>
        <w:ind w:left="360" w:hanging="360"/>
      </w:pPr>
      <w:r w:rsidRPr="00CF575F">
        <w:t>Governance Responsibilities</w:t>
      </w:r>
    </w:p>
    <w:p w14:paraId="00969E2A" w14:textId="14A76278" w:rsidR="004B5994" w:rsidRPr="00CE5F93" w:rsidRDefault="001A2B63" w:rsidP="00E94665">
      <w:pPr>
        <w:spacing w:after="120"/>
        <w:ind w:left="360"/>
      </w:pPr>
      <w:r>
        <w:t>The ISP uses the RACI model for assigning responsibility.</w:t>
      </w:r>
    </w:p>
    <w:tbl>
      <w:tblPr>
        <w:tblStyle w:val="GridTable4-Accent21"/>
        <w:tblW w:w="8850" w:type="dxa"/>
        <w:tblLook w:val="04A0" w:firstRow="1" w:lastRow="0" w:firstColumn="1" w:lastColumn="0" w:noHBand="0" w:noVBand="1"/>
      </w:tblPr>
      <w:tblGrid>
        <w:gridCol w:w="2212"/>
        <w:gridCol w:w="2212"/>
        <w:gridCol w:w="2213"/>
        <w:gridCol w:w="2213"/>
      </w:tblGrid>
      <w:tr w:rsidR="004B5994" w14:paraId="6F45BC97" w14:textId="77777777" w:rsidTr="001125B3">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12" w:type="dxa"/>
          </w:tcPr>
          <w:p w14:paraId="2D3E67CF" w14:textId="77777777" w:rsidR="004B5994" w:rsidRDefault="004B5994" w:rsidP="004B5994">
            <w:pPr>
              <w:jc w:val="center"/>
            </w:pPr>
            <w:r w:rsidRPr="0098428F">
              <w:rPr>
                <w:b w:val="0"/>
              </w:rPr>
              <w:t>Responsible</w:t>
            </w:r>
          </w:p>
        </w:tc>
        <w:tc>
          <w:tcPr>
            <w:tcW w:w="2212" w:type="dxa"/>
          </w:tcPr>
          <w:p w14:paraId="4E212CAB" w14:textId="77777777" w:rsidR="004B5994" w:rsidRDefault="004B5994"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213" w:type="dxa"/>
          </w:tcPr>
          <w:p w14:paraId="69BB7180" w14:textId="77777777" w:rsidR="004B5994" w:rsidRDefault="004B5994"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213" w:type="dxa"/>
          </w:tcPr>
          <w:p w14:paraId="56FE27B2" w14:textId="77777777" w:rsidR="004B5994" w:rsidRDefault="004B5994" w:rsidP="004B5994">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4B5994" w14:paraId="300728DF" w14:textId="77777777" w:rsidTr="00E94665">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212" w:type="dxa"/>
          </w:tcPr>
          <w:p w14:paraId="6160E065" w14:textId="77777777" w:rsidR="001125B3" w:rsidRDefault="001125B3" w:rsidP="004B5994">
            <w:pPr>
              <w:contextualSpacing/>
              <w:jc w:val="center"/>
            </w:pPr>
          </w:p>
          <w:p w14:paraId="5C8D6020" w14:textId="77777777" w:rsidR="004B5994" w:rsidRDefault="004B5994" w:rsidP="004B5994">
            <w:pPr>
              <w:contextualSpacing/>
              <w:jc w:val="center"/>
            </w:pPr>
            <w:r>
              <w:t>IT Manager</w:t>
            </w:r>
            <w:r>
              <w:br/>
            </w:r>
          </w:p>
        </w:tc>
        <w:tc>
          <w:tcPr>
            <w:tcW w:w="2212" w:type="dxa"/>
          </w:tcPr>
          <w:p w14:paraId="36AD98DF" w14:textId="77777777" w:rsidR="001125B3" w:rsidRDefault="001125B3" w:rsidP="004B5994">
            <w:pPr>
              <w:contextualSpacing/>
              <w:jc w:val="center"/>
              <w:cnfStyle w:val="000000100000" w:firstRow="0" w:lastRow="0" w:firstColumn="0" w:lastColumn="0" w:oddVBand="0" w:evenVBand="0" w:oddHBand="1" w:evenHBand="0" w:firstRowFirstColumn="0" w:firstRowLastColumn="0" w:lastRowFirstColumn="0" w:lastRowLastColumn="0"/>
              <w:rPr>
                <w:b/>
              </w:rPr>
            </w:pPr>
          </w:p>
          <w:p w14:paraId="3CCE7668" w14:textId="77777777" w:rsidR="004B5994" w:rsidRPr="00764189" w:rsidRDefault="004B5994" w:rsidP="004B5994">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213" w:type="dxa"/>
          </w:tcPr>
          <w:p w14:paraId="57A153FD" w14:textId="77777777" w:rsidR="001125B3" w:rsidRDefault="001125B3" w:rsidP="004B5994">
            <w:pPr>
              <w:contextualSpacing/>
              <w:jc w:val="center"/>
              <w:cnfStyle w:val="000000100000" w:firstRow="0" w:lastRow="0" w:firstColumn="0" w:lastColumn="0" w:oddVBand="0" w:evenVBand="0" w:oddHBand="1" w:evenHBand="0" w:firstRowFirstColumn="0" w:firstRowLastColumn="0" w:lastRowFirstColumn="0" w:lastRowLastColumn="0"/>
              <w:rPr>
                <w:b/>
              </w:rPr>
            </w:pPr>
          </w:p>
          <w:p w14:paraId="631FF370" w14:textId="77777777" w:rsidR="004B5994" w:rsidRPr="00764189" w:rsidRDefault="004B5994" w:rsidP="004B5994">
            <w:pPr>
              <w:contextualSpacing/>
              <w:jc w:val="center"/>
              <w:cnfStyle w:val="000000100000" w:firstRow="0" w:lastRow="0" w:firstColumn="0" w:lastColumn="0" w:oddVBand="0" w:evenVBand="0" w:oddHBand="1" w:evenHBand="0" w:firstRowFirstColumn="0" w:firstRowLastColumn="0" w:lastRowFirstColumn="0" w:lastRowLastColumn="0"/>
              <w:rPr>
                <w:b/>
              </w:rPr>
            </w:pPr>
            <w:r>
              <w:rPr>
                <w:b/>
              </w:rPr>
              <w:t>IT Department</w:t>
            </w:r>
          </w:p>
        </w:tc>
        <w:tc>
          <w:tcPr>
            <w:tcW w:w="2213" w:type="dxa"/>
          </w:tcPr>
          <w:p w14:paraId="5BCB0A6B" w14:textId="77777777" w:rsidR="001125B3" w:rsidRDefault="001125B3" w:rsidP="004B5994">
            <w:pPr>
              <w:contextualSpacing/>
              <w:jc w:val="center"/>
              <w:cnfStyle w:val="000000100000" w:firstRow="0" w:lastRow="0" w:firstColumn="0" w:lastColumn="0" w:oddVBand="0" w:evenVBand="0" w:oddHBand="1" w:evenHBand="0" w:firstRowFirstColumn="0" w:firstRowLastColumn="0" w:lastRowFirstColumn="0" w:lastRowLastColumn="0"/>
              <w:rPr>
                <w:b/>
              </w:rPr>
            </w:pPr>
          </w:p>
          <w:p w14:paraId="175B98F2" w14:textId="77777777" w:rsidR="004B5994" w:rsidRPr="00764189" w:rsidRDefault="004B5994" w:rsidP="004B5994">
            <w:pPr>
              <w:contextualSpacing/>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1DB7CC41" w14:textId="427A9DA1" w:rsidR="004B5994" w:rsidRPr="005B13D6" w:rsidRDefault="004B5994" w:rsidP="001125B3">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2F2399E7" w14:textId="77777777" w:rsidR="004B5994" w:rsidRPr="00CF575F" w:rsidRDefault="004B5994" w:rsidP="00905D50">
      <w:pPr>
        <w:pStyle w:val="Heading1"/>
        <w:ind w:left="360" w:hanging="360"/>
      </w:pPr>
      <w:r w:rsidRPr="00CF575F">
        <w:t>Approval</w:t>
      </w:r>
    </w:p>
    <w:p w14:paraId="03D406EB" w14:textId="77777777" w:rsidR="004B5994" w:rsidRPr="00E94665" w:rsidRDefault="004B5994" w:rsidP="004B5994">
      <w:pPr>
        <w:spacing w:after="0" w:line="240" w:lineRule="auto"/>
        <w:rPr>
          <w:sz w:val="16"/>
          <w:szCs w:val="16"/>
        </w:rPr>
      </w:pPr>
      <w:bookmarkStart w:id="2" w:name="_GoBack"/>
      <w:bookmarkEnd w:id="2"/>
    </w:p>
    <w:p w14:paraId="781A0A3C" w14:textId="77777777" w:rsidR="004B5994" w:rsidRDefault="004B5994" w:rsidP="004B5994">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1A0787BA" w14:textId="77777777" w:rsidR="004B5994" w:rsidRDefault="004B5994" w:rsidP="004B5994">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2DEE9BA6" w14:textId="77777777" w:rsidR="004B5994" w:rsidRDefault="004B5994" w:rsidP="004B5994">
      <w:pPr>
        <w:spacing w:after="0" w:line="240" w:lineRule="auto"/>
      </w:pPr>
    </w:p>
    <w:p w14:paraId="35D6082C" w14:textId="77777777" w:rsidR="004B5994" w:rsidRPr="00CF575F" w:rsidRDefault="004B5994" w:rsidP="00E94665">
      <w:pPr>
        <w:pStyle w:val="Heading1"/>
        <w:spacing w:before="120"/>
        <w:ind w:left="360" w:hanging="360"/>
      </w:pPr>
      <w:r w:rsidRPr="00CF575F">
        <w:t>Revision History</w:t>
      </w:r>
    </w:p>
    <w:tbl>
      <w:tblPr>
        <w:tblStyle w:val="TableGrid"/>
        <w:tblW w:w="8837" w:type="dxa"/>
        <w:tblInd w:w="468" w:type="dxa"/>
        <w:tblLook w:val="04A0" w:firstRow="1" w:lastRow="0" w:firstColumn="1" w:lastColumn="0" w:noHBand="0" w:noVBand="1"/>
      </w:tblPr>
      <w:tblGrid>
        <w:gridCol w:w="2227"/>
        <w:gridCol w:w="1511"/>
        <w:gridCol w:w="5099"/>
      </w:tblGrid>
      <w:tr w:rsidR="004B5994" w14:paraId="0AB4B91D" w14:textId="77777777" w:rsidTr="001125B3">
        <w:trPr>
          <w:trHeight w:val="265"/>
        </w:trPr>
        <w:tc>
          <w:tcPr>
            <w:tcW w:w="2227" w:type="dxa"/>
          </w:tcPr>
          <w:p w14:paraId="6F0443CB" w14:textId="77777777" w:rsidR="004B5994" w:rsidRDefault="004B5994" w:rsidP="004B5994">
            <w:r>
              <w:t>Date of Change(s)</w:t>
            </w:r>
          </w:p>
        </w:tc>
        <w:tc>
          <w:tcPr>
            <w:tcW w:w="1511" w:type="dxa"/>
          </w:tcPr>
          <w:p w14:paraId="11A9AB59" w14:textId="77777777" w:rsidR="004B5994" w:rsidRDefault="004B5994" w:rsidP="004B5994">
            <w:r>
              <w:t>Revised by</w:t>
            </w:r>
          </w:p>
        </w:tc>
        <w:tc>
          <w:tcPr>
            <w:tcW w:w="5099" w:type="dxa"/>
          </w:tcPr>
          <w:p w14:paraId="351F3EB0" w14:textId="77777777" w:rsidR="004B5994" w:rsidRDefault="004B5994" w:rsidP="004B5994">
            <w:r>
              <w:t>Summary of Change(s)</w:t>
            </w:r>
          </w:p>
        </w:tc>
      </w:tr>
      <w:tr w:rsidR="004B5994" w14:paraId="4D831152" w14:textId="77777777" w:rsidTr="001125B3">
        <w:trPr>
          <w:trHeight w:val="265"/>
        </w:trPr>
        <w:tc>
          <w:tcPr>
            <w:tcW w:w="2227" w:type="dxa"/>
          </w:tcPr>
          <w:p w14:paraId="522E3279" w14:textId="77777777" w:rsidR="004B5994" w:rsidRDefault="004B5994" w:rsidP="004B5994"/>
        </w:tc>
        <w:tc>
          <w:tcPr>
            <w:tcW w:w="1511" w:type="dxa"/>
          </w:tcPr>
          <w:p w14:paraId="51533ADA" w14:textId="77777777" w:rsidR="004B5994" w:rsidRDefault="004B5994" w:rsidP="004B5994"/>
        </w:tc>
        <w:tc>
          <w:tcPr>
            <w:tcW w:w="5099" w:type="dxa"/>
          </w:tcPr>
          <w:p w14:paraId="01059072" w14:textId="77777777" w:rsidR="004B5994" w:rsidRDefault="004B5994" w:rsidP="004B5994"/>
        </w:tc>
      </w:tr>
    </w:tbl>
    <w:p w14:paraId="01671746" w14:textId="77777777" w:rsidR="0080653C" w:rsidRDefault="0080653C" w:rsidP="004B5994"/>
    <w:sectPr w:rsidR="0080653C" w:rsidSect="003A2211">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5F762DB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3A2211">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09529D6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3A2211">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4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506B"/>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A30"/>
    <w:rsid w:val="00354C89"/>
    <w:rsid w:val="0037120D"/>
    <w:rsid w:val="00372D26"/>
    <w:rsid w:val="00375B19"/>
    <w:rsid w:val="00377F30"/>
    <w:rsid w:val="00394076"/>
    <w:rsid w:val="0039733E"/>
    <w:rsid w:val="003A113E"/>
    <w:rsid w:val="003A2211"/>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0B22"/>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56C"/>
    <w:rsid w:val="007C4EC1"/>
    <w:rsid w:val="007D0BF4"/>
    <w:rsid w:val="007D35A1"/>
    <w:rsid w:val="007D410C"/>
    <w:rsid w:val="007E17F2"/>
    <w:rsid w:val="007E2E91"/>
    <w:rsid w:val="007F4E93"/>
    <w:rsid w:val="007F519A"/>
    <w:rsid w:val="007F62CF"/>
    <w:rsid w:val="007F72A3"/>
    <w:rsid w:val="00804400"/>
    <w:rsid w:val="0080450A"/>
    <w:rsid w:val="0080653C"/>
    <w:rsid w:val="008072B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46A78"/>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CF329F"/>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37C5"/>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94665"/>
    <w:rsid w:val="00EB1A3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3BA2"/>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document_librar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sans.edu/student-files/projects/vulnerability-assessment-policy.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F66C8-1FEE-497B-BF14-F090061E3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5</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2016-06-10T15:49:00Z</dcterms:created>
  <dcterms:modified xsi:type="dcterms:W3CDTF">2016-06-10T15:57:00Z</dcterms:modified>
</cp:coreProperties>
</file>