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03E22" w14:textId="1FA44AA4" w:rsidR="00D512A2" w:rsidRDefault="00D512A2" w:rsidP="00BB6919">
      <w:bookmarkStart w:id="0" w:name="_GoBack"/>
      <w:bookmarkEnd w:id="0"/>
      <w:r>
        <w:rPr>
          <w:noProof/>
        </w:rPr>
        <w:drawing>
          <wp:inline distT="0" distB="0" distL="0" distR="0" wp14:anchorId="2C348F1B" wp14:editId="753F2E98">
            <wp:extent cx="532852" cy="669627"/>
            <wp:effectExtent l="38100" t="38100" r="76835" b="7366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852" cy="669627"/>
                    </a:xfrm>
                    <a:prstGeom prst="rect">
                      <a:avLst/>
                    </a:prstGeom>
                    <a:ln w="12700" cap="flat">
                      <a:noFill/>
                      <a:miter lim="400000"/>
                    </a:ln>
                    <a:effectLst>
                      <a:outerShdw blurRad="50800" dist="38100" dir="2700000" algn="tl" rotWithShape="0">
                        <a:prstClr val="black">
                          <a:alpha val="40000"/>
                        </a:prstClr>
                      </a:outerShdw>
                    </a:effectLst>
                  </pic:spPr>
                </pic:pic>
              </a:graphicData>
            </a:graphic>
          </wp:inline>
        </w:drawing>
      </w:r>
      <w:r>
        <w:t xml:space="preserve">     </w:t>
      </w:r>
    </w:p>
    <w:p w14:paraId="1C8C872E" w14:textId="77777777" w:rsidR="00D512A2" w:rsidRDefault="00D512A2" w:rsidP="00D512A2">
      <w:pPr>
        <w:pStyle w:val="Title"/>
        <w:jc w:val="center"/>
      </w:pPr>
      <w:bookmarkStart w:id="1" w:name="_Toc452019037"/>
      <w:bookmarkStart w:id="2" w:name="_Toc453241978"/>
      <w:r w:rsidRPr="008C0E3F">
        <w:t xml:space="preserve">System Logging and Monitoring </w:t>
      </w:r>
      <w:r>
        <w:t>Policy</w:t>
      </w:r>
      <w:bookmarkEnd w:id="1"/>
      <w:bookmarkEnd w:id="2"/>
    </w:p>
    <w:p w14:paraId="562AA7AE" w14:textId="77777777" w:rsidR="00D512A2" w:rsidRDefault="00D512A2" w:rsidP="009333B8">
      <w:pPr>
        <w:pStyle w:val="Heading1"/>
        <w:numPr>
          <w:ilvl w:val="0"/>
          <w:numId w:val="99"/>
        </w:numPr>
        <w:ind w:left="360" w:hanging="360"/>
      </w:pPr>
      <w:r>
        <w:t>Overview/Purpose</w:t>
      </w:r>
    </w:p>
    <w:p w14:paraId="3D6FB25A" w14:textId="77777777" w:rsidR="00D512A2" w:rsidRPr="002D2B17" w:rsidRDefault="00D512A2" w:rsidP="00D512A2">
      <w:r w:rsidRPr="002D2B17">
        <w:t>Monitoring and logging is an essential information security control that is used to identify, respond to, and prevent operational problems, security incidents, policy violations, and fraudulent activity.</w:t>
      </w:r>
    </w:p>
    <w:p w14:paraId="0119EF01" w14:textId="1C081CBF" w:rsidR="00D512A2" w:rsidRPr="002D2B17" w:rsidRDefault="00D512A2" w:rsidP="00D512A2">
      <w:r w:rsidRPr="002D2B17">
        <w:t xml:space="preserve">The purpose of this policy is to establish requirements and parameters for creating, maintaining, storing, and accessing </w:t>
      </w:r>
      <w:r w:rsidRPr="002D2B17">
        <w:rPr>
          <w:color w:val="FF0000"/>
        </w:rPr>
        <w:t>&lt;</w:t>
      </w:r>
      <w:r w:rsidR="0019142C">
        <w:rPr>
          <w:b/>
          <w:color w:val="FF0000"/>
        </w:rPr>
        <w:t>Utility Name</w:t>
      </w:r>
      <w:r w:rsidRPr="002D2B17">
        <w:rPr>
          <w:color w:val="FF0000"/>
        </w:rPr>
        <w:t xml:space="preserve">&gt; </w:t>
      </w:r>
      <w:r w:rsidRPr="002D2B17">
        <w:t>computer and communication device logs. The logs shall be used to assist in troubleshooting, monitoring changes to system performance, record</w:t>
      </w:r>
      <w:r>
        <w:t>ing</w:t>
      </w:r>
      <w:r w:rsidRPr="002D2B17">
        <w:t xml:space="preserve"> the actions of users when necessary to properly maintain security, track </w:t>
      </w:r>
      <w:r>
        <w:t xml:space="preserve">and investigate </w:t>
      </w:r>
      <w:r w:rsidRPr="002D2B17">
        <w:t xml:space="preserve">security </w:t>
      </w:r>
      <w:r>
        <w:t>incidents</w:t>
      </w:r>
      <w:r w:rsidRPr="002D2B17">
        <w:t>, and provide data useful for investigating malicious activity. Additionally, logs may be used to assist in business recovery activities</w:t>
      </w:r>
      <w:r>
        <w:t>,</w:t>
      </w:r>
      <w:r w:rsidRPr="002D2B17">
        <w:t xml:space="preserve"> and to comply with federal, state, and local laws and regulations.</w:t>
      </w:r>
    </w:p>
    <w:p w14:paraId="5AF2B7B4" w14:textId="77777777" w:rsidR="00D512A2" w:rsidRDefault="00D512A2" w:rsidP="00D512A2">
      <w:pPr>
        <w:pStyle w:val="Heading"/>
      </w:pPr>
      <w:r>
        <w:t>Scope</w:t>
      </w:r>
    </w:p>
    <w:p w14:paraId="2C7E5307" w14:textId="1C96115B" w:rsidR="00D512A2" w:rsidRPr="002D2B17" w:rsidRDefault="00D512A2" w:rsidP="00D512A2">
      <w:r w:rsidRPr="002D2B17">
        <w:t xml:space="preserve">All employees, contractors, consultants, temporary and other workers and its subsidiaries must adhere to this policy. This policy applies to technology, as defined in the Introduction herein, that is owned, operated, or leased by </w:t>
      </w:r>
      <w:r w:rsidRPr="002D2B17">
        <w:rPr>
          <w:color w:val="FF0000"/>
        </w:rPr>
        <w:t>&lt;</w:t>
      </w:r>
      <w:r w:rsidR="0019142C">
        <w:rPr>
          <w:b/>
          <w:color w:val="FF0000"/>
        </w:rPr>
        <w:t>Utility Name</w:t>
      </w:r>
      <w:r w:rsidRPr="002D2B17">
        <w:rPr>
          <w:color w:val="FF0000"/>
        </w:rPr>
        <w:t>&gt;</w:t>
      </w:r>
      <w:r w:rsidRPr="002D2B17">
        <w:t xml:space="preserve"> or registered under a </w:t>
      </w:r>
      <w:r w:rsidRPr="002D2B17">
        <w:rPr>
          <w:color w:val="FF0000"/>
        </w:rPr>
        <w:t>&lt;</w:t>
      </w:r>
      <w:r w:rsidR="0019142C">
        <w:rPr>
          <w:b/>
          <w:color w:val="FF0000"/>
        </w:rPr>
        <w:t>Utility Name</w:t>
      </w:r>
      <w:r w:rsidRPr="002D2B17">
        <w:rPr>
          <w:color w:val="FF0000"/>
        </w:rPr>
        <w:t>&gt;</w:t>
      </w:r>
      <w:r w:rsidRPr="002D2B17">
        <w:t>-owned internal network domain.</w:t>
      </w:r>
    </w:p>
    <w:p w14:paraId="0544024C" w14:textId="77777777" w:rsidR="00D512A2" w:rsidRDefault="00D512A2" w:rsidP="00D512A2">
      <w:pPr>
        <w:pStyle w:val="Heading"/>
      </w:pPr>
      <w:r>
        <w:t>Policy</w:t>
      </w:r>
    </w:p>
    <w:p w14:paraId="1D18CD6B" w14:textId="77777777" w:rsidR="00D512A2" w:rsidRDefault="00D512A2" w:rsidP="00905D50">
      <w:pPr>
        <w:pStyle w:val="Heading2"/>
        <w:ind w:left="1080" w:hanging="720"/>
      </w:pPr>
      <w:r w:rsidRPr="00DC1A32">
        <w:t xml:space="preserve">General </w:t>
      </w:r>
      <w:r w:rsidRPr="00D512A2">
        <w:t>Requirements</w:t>
      </w:r>
    </w:p>
    <w:p w14:paraId="3884E58F" w14:textId="0F5F9377" w:rsidR="00D512A2" w:rsidRDefault="00D512A2" w:rsidP="00330EF0">
      <w:pPr>
        <w:pStyle w:val="Heading3"/>
        <w:spacing w:after="120"/>
      </w:pPr>
      <w:r w:rsidRPr="00964FD2">
        <w:t>The time settings of all systems generating log files will be synchronized to an authoritative time source, using an application such as the Network Time Protocol (NTP) Service. Synchronizing time stamps for log events will help to facilitate the investigation of issues involving more than one system.</w:t>
      </w:r>
    </w:p>
    <w:p w14:paraId="6632A7CF" w14:textId="4B57E67B" w:rsidR="00D512A2" w:rsidRDefault="00D512A2" w:rsidP="00964FD2">
      <w:pPr>
        <w:pStyle w:val="Heading3"/>
      </w:pPr>
      <w:r w:rsidRPr="00964FD2">
        <w:rPr>
          <w:color w:val="FF0000"/>
        </w:rPr>
        <w:t>&lt;</w:t>
      </w:r>
      <w:r w:rsidR="0019142C" w:rsidRPr="00964FD2">
        <w:rPr>
          <w:b/>
          <w:color w:val="FF0000"/>
        </w:rPr>
        <w:t>Utility Name</w:t>
      </w:r>
      <w:r w:rsidRPr="00964FD2">
        <w:rPr>
          <w:color w:val="FF0000"/>
        </w:rPr>
        <w:t>&gt;</w:t>
      </w:r>
      <w:r>
        <w:t xml:space="preserve"> will use a centralized system for log collection and correlation.</w:t>
      </w:r>
      <w:r w:rsidR="00964FD2">
        <w:t xml:space="preserve"> </w:t>
      </w:r>
      <w:r>
        <w:t>All network devices, servers, workstations shall provide log data to the centralized logging system. This system should also collect data from wireless access points and intrusion detection devices.</w:t>
      </w:r>
    </w:p>
    <w:p w14:paraId="405CAF5A" w14:textId="77777777" w:rsidR="00D512A2" w:rsidRDefault="00D512A2" w:rsidP="00BB6919">
      <w:pPr>
        <w:pStyle w:val="ListParagraph"/>
      </w:pPr>
    </w:p>
    <w:p w14:paraId="0C85C2C7" w14:textId="2CE914C5" w:rsidR="00D512A2" w:rsidRDefault="00D512A2" w:rsidP="009A3317">
      <w:r>
        <w:t>The level of information detail contained in a log will be determined by the IT Manager based on the risks to the relevant technology and underlying data, and shall be determined in accordance with the risk management policy.</w:t>
      </w:r>
    </w:p>
    <w:p w14:paraId="028DFCA0" w14:textId="6D76F95F" w:rsidR="00D512A2" w:rsidRDefault="00D512A2" w:rsidP="00330EF0">
      <w:pPr>
        <w:pStyle w:val="Heading3"/>
        <w:spacing w:after="120"/>
      </w:pPr>
      <w:r>
        <w:t xml:space="preserve">Log files must be examined on a regular basis in order to protect </w:t>
      </w:r>
      <w:r w:rsidR="005C22FB">
        <w:t>technology</w:t>
      </w:r>
      <w:r>
        <w:t xml:space="preserve">. </w:t>
      </w:r>
      <w:r w:rsidRPr="0080653C">
        <w:t xml:space="preserve">The frequency and nature of log monitoring and review depends on the risks to the relevant technology and underlying data and shall be commensurate with the risk management policy. To satisfy PCI DSS requirements, logs will </w:t>
      </w:r>
      <w:proofErr w:type="gramStart"/>
      <w:r w:rsidRPr="0080653C">
        <w:t>be</w:t>
      </w:r>
      <w:proofErr w:type="gramEnd"/>
      <w:r w:rsidRPr="0080653C">
        <w:t xml:space="preserve"> review on daily basis when collecting data from protective devices and applications such as IDS, IPS (standalone or built into firewall), </w:t>
      </w:r>
      <w:r w:rsidR="004F2392" w:rsidRPr="0080653C">
        <w:t xml:space="preserve">and </w:t>
      </w:r>
      <w:r w:rsidRPr="0080653C">
        <w:t>antivirus consoles.</w:t>
      </w:r>
    </w:p>
    <w:p w14:paraId="1C213FAC" w14:textId="5DDC18FC" w:rsidR="00D512A2" w:rsidRDefault="00D512A2" w:rsidP="00964FD2">
      <w:pPr>
        <w:pStyle w:val="Heading3"/>
      </w:pPr>
      <w:r>
        <w:t>The following list of events shall be logged for PCI DSS compliance:</w:t>
      </w:r>
    </w:p>
    <w:p w14:paraId="42947025" w14:textId="77777777" w:rsidR="00D512A2" w:rsidRDefault="00D512A2" w:rsidP="009333B8">
      <w:pPr>
        <w:pStyle w:val="ListParagraph"/>
        <w:numPr>
          <w:ilvl w:val="0"/>
          <w:numId w:val="97"/>
        </w:numPr>
        <w:tabs>
          <w:tab w:val="left" w:pos="1800"/>
        </w:tabs>
        <w:ind w:left="2160"/>
      </w:pPr>
      <w:r w:rsidRPr="00E43A19">
        <w:t xml:space="preserve">Directory Service Access Attempts </w:t>
      </w:r>
    </w:p>
    <w:p w14:paraId="539F10EF" w14:textId="77777777" w:rsidR="00D512A2" w:rsidRDefault="00D512A2" w:rsidP="009333B8">
      <w:pPr>
        <w:pStyle w:val="ListParagraph"/>
        <w:numPr>
          <w:ilvl w:val="0"/>
          <w:numId w:val="97"/>
        </w:numPr>
        <w:tabs>
          <w:tab w:val="left" w:pos="1800"/>
        </w:tabs>
        <w:ind w:left="2160"/>
      </w:pPr>
      <w:r w:rsidRPr="00E43A19">
        <w:t xml:space="preserve">Directory Service Access - Success/Failure </w:t>
      </w:r>
    </w:p>
    <w:p w14:paraId="18598455" w14:textId="77777777" w:rsidR="00D512A2" w:rsidRDefault="00D512A2" w:rsidP="009333B8">
      <w:pPr>
        <w:pStyle w:val="ListParagraph"/>
        <w:numPr>
          <w:ilvl w:val="0"/>
          <w:numId w:val="97"/>
        </w:numPr>
        <w:tabs>
          <w:tab w:val="left" w:pos="1800"/>
        </w:tabs>
        <w:ind w:left="2160"/>
      </w:pPr>
      <w:r w:rsidRPr="00E43A19">
        <w:t xml:space="preserve">Logon Failures – Active Directory </w:t>
      </w:r>
    </w:p>
    <w:p w14:paraId="3D366CBF" w14:textId="77777777" w:rsidR="00D512A2" w:rsidRDefault="00D512A2" w:rsidP="009333B8">
      <w:pPr>
        <w:pStyle w:val="ListParagraph"/>
        <w:numPr>
          <w:ilvl w:val="0"/>
          <w:numId w:val="97"/>
        </w:numPr>
        <w:tabs>
          <w:tab w:val="left" w:pos="1800"/>
        </w:tabs>
        <w:ind w:left="2160"/>
      </w:pPr>
      <w:r w:rsidRPr="00E43A19">
        <w:t xml:space="preserve">Logon Failures – Local Logons </w:t>
      </w:r>
    </w:p>
    <w:p w14:paraId="6BF6BA3E" w14:textId="77777777" w:rsidR="00D512A2" w:rsidRDefault="00D512A2" w:rsidP="009333B8">
      <w:pPr>
        <w:pStyle w:val="ListParagraph"/>
        <w:numPr>
          <w:ilvl w:val="0"/>
          <w:numId w:val="97"/>
        </w:numPr>
        <w:tabs>
          <w:tab w:val="left" w:pos="1800"/>
        </w:tabs>
        <w:ind w:left="2160"/>
      </w:pPr>
      <w:r w:rsidRPr="00E43A19">
        <w:t xml:space="preserve">Object Access Attempts – Success/Failure </w:t>
      </w:r>
    </w:p>
    <w:p w14:paraId="7353DB13" w14:textId="77777777" w:rsidR="00D512A2" w:rsidRDefault="00D512A2" w:rsidP="009333B8">
      <w:pPr>
        <w:pStyle w:val="ListParagraph"/>
        <w:numPr>
          <w:ilvl w:val="0"/>
          <w:numId w:val="97"/>
        </w:numPr>
        <w:tabs>
          <w:tab w:val="left" w:pos="1800"/>
        </w:tabs>
        <w:ind w:left="2160"/>
      </w:pPr>
      <w:r w:rsidRPr="00E43A19">
        <w:t xml:space="preserve">Object Deletions </w:t>
      </w:r>
    </w:p>
    <w:p w14:paraId="73086029" w14:textId="77777777" w:rsidR="00D512A2" w:rsidRDefault="00D512A2" w:rsidP="009333B8">
      <w:pPr>
        <w:pStyle w:val="ListParagraph"/>
        <w:numPr>
          <w:ilvl w:val="0"/>
          <w:numId w:val="97"/>
        </w:numPr>
        <w:tabs>
          <w:tab w:val="left" w:pos="1800"/>
        </w:tabs>
        <w:ind w:left="2160"/>
      </w:pPr>
      <w:r w:rsidRPr="00E43A19">
        <w:t>Password Reset Att</w:t>
      </w:r>
      <w:r>
        <w:t xml:space="preserve">empts by Administrators or </w:t>
      </w:r>
      <w:r w:rsidRPr="00E43A19">
        <w:t xml:space="preserve">Account Operators </w:t>
      </w:r>
    </w:p>
    <w:p w14:paraId="235DF344" w14:textId="77777777" w:rsidR="00D512A2" w:rsidRDefault="00D512A2" w:rsidP="009333B8">
      <w:pPr>
        <w:pStyle w:val="ListParagraph"/>
        <w:numPr>
          <w:ilvl w:val="0"/>
          <w:numId w:val="97"/>
        </w:numPr>
        <w:tabs>
          <w:tab w:val="left" w:pos="1800"/>
        </w:tabs>
        <w:ind w:left="2160"/>
      </w:pPr>
      <w:r w:rsidRPr="00E43A19">
        <w:t xml:space="preserve">Process (Program) Usage </w:t>
      </w:r>
    </w:p>
    <w:p w14:paraId="664A409B" w14:textId="77777777" w:rsidR="00D512A2" w:rsidRDefault="00D512A2" w:rsidP="009333B8">
      <w:pPr>
        <w:pStyle w:val="ListParagraph"/>
        <w:numPr>
          <w:ilvl w:val="0"/>
          <w:numId w:val="97"/>
        </w:numPr>
        <w:tabs>
          <w:tab w:val="left" w:pos="1800"/>
        </w:tabs>
        <w:ind w:left="2160"/>
      </w:pPr>
      <w:r w:rsidRPr="00E43A19">
        <w:t>User Activity in Auditing Categories</w:t>
      </w:r>
    </w:p>
    <w:p w14:paraId="499D7065" w14:textId="77777777" w:rsidR="00D512A2" w:rsidRDefault="00D512A2" w:rsidP="009333B8">
      <w:pPr>
        <w:pStyle w:val="ListParagraph"/>
        <w:numPr>
          <w:ilvl w:val="0"/>
          <w:numId w:val="97"/>
        </w:numPr>
        <w:tabs>
          <w:tab w:val="left" w:pos="1800"/>
        </w:tabs>
        <w:ind w:left="2160"/>
      </w:pPr>
      <w:r w:rsidRPr="00E43A19">
        <w:t>Successful Network Logons –</w:t>
      </w:r>
      <w:r>
        <w:t xml:space="preserve"> Workstations and     Servers </w:t>
      </w:r>
    </w:p>
    <w:p w14:paraId="37EDB6B9" w14:textId="77777777" w:rsidR="00D512A2" w:rsidRDefault="00D512A2" w:rsidP="009333B8">
      <w:pPr>
        <w:pStyle w:val="ListParagraph"/>
        <w:numPr>
          <w:ilvl w:val="0"/>
          <w:numId w:val="97"/>
        </w:numPr>
        <w:tabs>
          <w:tab w:val="left" w:pos="1800"/>
        </w:tabs>
        <w:ind w:left="2160"/>
      </w:pPr>
      <w:r w:rsidRPr="00E43A19">
        <w:t>Po</w:t>
      </w:r>
      <w:r>
        <w:t xml:space="preserve">licy Change - Success/Failure </w:t>
      </w:r>
    </w:p>
    <w:p w14:paraId="35879D7E" w14:textId="77777777" w:rsidR="00D512A2" w:rsidRDefault="00D512A2" w:rsidP="009333B8">
      <w:pPr>
        <w:pStyle w:val="ListParagraph"/>
        <w:numPr>
          <w:ilvl w:val="0"/>
          <w:numId w:val="97"/>
        </w:numPr>
        <w:tabs>
          <w:tab w:val="left" w:pos="1800"/>
        </w:tabs>
        <w:ind w:left="2160"/>
      </w:pPr>
      <w:r w:rsidRPr="00E43A19">
        <w:t>Account</w:t>
      </w:r>
      <w:r>
        <w:t xml:space="preserve"> Management – Success/Failure </w:t>
      </w:r>
    </w:p>
    <w:p w14:paraId="2EB1ACC9" w14:textId="77777777" w:rsidR="00D512A2" w:rsidRDefault="00D512A2" w:rsidP="009333B8">
      <w:pPr>
        <w:pStyle w:val="ListParagraph"/>
        <w:numPr>
          <w:ilvl w:val="0"/>
          <w:numId w:val="97"/>
        </w:numPr>
        <w:tabs>
          <w:tab w:val="left" w:pos="1800"/>
        </w:tabs>
        <w:ind w:left="2160"/>
      </w:pPr>
      <w:r w:rsidRPr="00E43A19">
        <w:t>Directory Ser</w:t>
      </w:r>
      <w:r>
        <w:t xml:space="preserve">vice Access - Success/Failure </w:t>
      </w:r>
    </w:p>
    <w:p w14:paraId="713E75D4" w14:textId="77777777" w:rsidR="00D512A2" w:rsidRDefault="00D512A2" w:rsidP="009333B8">
      <w:pPr>
        <w:pStyle w:val="ListParagraph"/>
        <w:numPr>
          <w:ilvl w:val="0"/>
          <w:numId w:val="97"/>
        </w:numPr>
        <w:tabs>
          <w:tab w:val="left" w:pos="1800"/>
        </w:tabs>
        <w:ind w:left="2160"/>
      </w:pPr>
      <w:r w:rsidRPr="00E43A19">
        <w:t>System Events - Success/Failure</w:t>
      </w:r>
    </w:p>
    <w:p w14:paraId="043B4BEB" w14:textId="77777777" w:rsidR="00D512A2" w:rsidRDefault="00D512A2" w:rsidP="00330EF0">
      <w:pPr>
        <w:pStyle w:val="ListParagraph"/>
        <w:keepNext/>
        <w:keepLines/>
        <w:spacing w:before="40" w:after="120"/>
        <w:ind w:left="1800" w:hanging="720"/>
        <w:contextualSpacing w:val="0"/>
        <w:outlineLvl w:val="2"/>
      </w:pPr>
      <w:r>
        <w:t>(This list of logged information needs to be verified periodically against the current PCI DSS standard.)</w:t>
      </w:r>
    </w:p>
    <w:p w14:paraId="23E85668" w14:textId="1BF6B33A" w:rsidR="00D512A2" w:rsidRDefault="00D512A2" w:rsidP="00330EF0">
      <w:pPr>
        <w:pStyle w:val="Heading3"/>
        <w:spacing w:after="120"/>
      </w:pPr>
      <w:r>
        <w:t xml:space="preserve">Log files may contain confidential data, and thus must be handled in a manner that is consistent with the </w:t>
      </w:r>
      <w:r w:rsidR="00651706" w:rsidRPr="00101894">
        <w:rPr>
          <w:b/>
          <w:color w:val="FF0000"/>
        </w:rPr>
        <w:t>&lt;</w:t>
      </w:r>
      <w:r w:rsidR="0019142C" w:rsidRPr="00101894">
        <w:rPr>
          <w:b/>
          <w:color w:val="FF0000"/>
        </w:rPr>
        <w:t>Utility</w:t>
      </w:r>
      <w:r w:rsidR="00651706" w:rsidRPr="00101894">
        <w:rPr>
          <w:b/>
          <w:color w:val="FF0000"/>
        </w:rPr>
        <w:t xml:space="preserve"> Name&gt;</w:t>
      </w:r>
      <w:r>
        <w:t>’s policy for such data. Logging facilities and log information should be protected against tampering, modification, destruction, and unauthorized access. When technically feasible, system administrators should not have permission to erase, deactivate, or modify logs of their own activities.</w:t>
      </w:r>
    </w:p>
    <w:p w14:paraId="23479426" w14:textId="77777777" w:rsidR="00D512A2" w:rsidRDefault="00D512A2" w:rsidP="00BB6919">
      <w:pPr>
        <w:pStyle w:val="ListParagraph"/>
        <w:ind w:left="1620"/>
      </w:pPr>
    </w:p>
    <w:p w14:paraId="0C0B2A68" w14:textId="46070703" w:rsidR="00D512A2" w:rsidRDefault="00D512A2" w:rsidP="00964FD2">
      <w:pPr>
        <w:pStyle w:val="Heading3"/>
      </w:pPr>
      <w:r>
        <w:t>Log files will be maintained only as necessary to comply with the record retention policy or as required to support analysis of misuse, incident reconstruction, or other investigations. To satisfy PCI DSS requirements, logs need to be maintained for one year</w:t>
      </w:r>
      <w:r w:rsidR="00A77DBA">
        <w:t>, with logs for three years readily available</w:t>
      </w:r>
      <w:r>
        <w:t>.</w:t>
      </w:r>
    </w:p>
    <w:p w14:paraId="23669EE4" w14:textId="77777777" w:rsidR="00D512A2" w:rsidRPr="003874F6" w:rsidRDefault="00D512A2" w:rsidP="00D512A2">
      <w:pPr>
        <w:pStyle w:val="Heading"/>
      </w:pPr>
      <w:r w:rsidRPr="003874F6">
        <w:t>Compliance</w:t>
      </w:r>
    </w:p>
    <w:p w14:paraId="32EA52C4" w14:textId="77777777" w:rsidR="00D512A2" w:rsidRDefault="00D512A2" w:rsidP="00905D50">
      <w:pPr>
        <w:pStyle w:val="Heading2"/>
        <w:ind w:left="1080" w:hanging="720"/>
      </w:pPr>
      <w:r>
        <w:t xml:space="preserve">Compliance </w:t>
      </w:r>
      <w:r w:rsidRPr="00D512A2">
        <w:t>Measurement</w:t>
      </w:r>
    </w:p>
    <w:p w14:paraId="6275FD0C" w14:textId="4BC3EDBA" w:rsidR="00D512A2" w:rsidRPr="00E32AA7" w:rsidRDefault="00D512A2" w:rsidP="00905D50">
      <w:pPr>
        <w:ind w:left="360"/>
      </w:pPr>
      <w:r w:rsidRPr="00E32AA7">
        <w:t xml:space="preserve">The </w:t>
      </w:r>
      <w:r w:rsidRPr="00E32AA7">
        <w:rPr>
          <w:color w:val="FF0000"/>
        </w:rPr>
        <w:t>&lt;</w:t>
      </w:r>
      <w:r w:rsidRPr="00E32AA7">
        <w:rPr>
          <w:b/>
          <w:color w:val="FF0000"/>
        </w:rPr>
        <w:t>person or group responsible for policy</w:t>
      </w:r>
      <w:r w:rsidR="001D6CD7">
        <w:rPr>
          <w:b/>
          <w:color w:val="FF0000"/>
        </w:rPr>
        <w:t>&gt;</w:t>
      </w:r>
      <w:r w:rsidRPr="00E32AA7">
        <w:rPr>
          <w:b/>
          <w:color w:val="FF0000"/>
        </w:rPr>
        <w:t xml:space="preserve"> </w:t>
      </w:r>
      <w:r w:rsidRPr="00E32AA7">
        <w:t>will verify compliance to this policy through various methods, including but not limited to, business tool reports, internal and external audits, and feedback to the policy owner.</w:t>
      </w:r>
    </w:p>
    <w:p w14:paraId="0E1017D6" w14:textId="77777777" w:rsidR="00D512A2" w:rsidRDefault="00905D50" w:rsidP="00905D50">
      <w:pPr>
        <w:pStyle w:val="Heading2"/>
        <w:ind w:left="1080" w:hanging="720"/>
      </w:pPr>
      <w:r>
        <w:t>Exceptions</w:t>
      </w:r>
    </w:p>
    <w:p w14:paraId="1A6F3281" w14:textId="2A253E6B" w:rsidR="00D512A2" w:rsidRPr="00E32AA7" w:rsidRDefault="00D512A2" w:rsidP="00905D50">
      <w:pPr>
        <w:ind w:left="360"/>
      </w:pPr>
      <w:r w:rsidRPr="00E32AA7">
        <w:t xml:space="preserve">Any exception to the policy must be approved by the </w:t>
      </w:r>
      <w:r w:rsidRPr="00E32AA7">
        <w:rPr>
          <w:color w:val="FF0000"/>
        </w:rPr>
        <w:t>&lt;</w:t>
      </w:r>
      <w:r w:rsidRPr="00E32AA7">
        <w:rPr>
          <w:b/>
          <w:color w:val="FF0000"/>
        </w:rPr>
        <w:t>person or group responsible for policy</w:t>
      </w:r>
      <w:r w:rsidRPr="00E32AA7">
        <w:rPr>
          <w:color w:val="FF0000"/>
        </w:rPr>
        <w:t>&gt;</w:t>
      </w:r>
      <w:r w:rsidRPr="00E32AA7">
        <w:t xml:space="preserve"> in advance.</w:t>
      </w:r>
    </w:p>
    <w:p w14:paraId="36F13676" w14:textId="77777777" w:rsidR="00D512A2" w:rsidRDefault="00D512A2" w:rsidP="00905D50">
      <w:pPr>
        <w:pStyle w:val="Heading2"/>
        <w:ind w:left="1080" w:hanging="720"/>
      </w:pPr>
      <w:r>
        <w:t>Non-</w:t>
      </w:r>
      <w:r w:rsidRPr="00D512A2">
        <w:t>Compliance</w:t>
      </w:r>
    </w:p>
    <w:p w14:paraId="5EC31E2A" w14:textId="00099932" w:rsidR="00D512A2" w:rsidRPr="00E32AA7" w:rsidRDefault="00D512A2" w:rsidP="00905D50">
      <w:pPr>
        <w:ind w:left="360"/>
      </w:pPr>
      <w:r w:rsidRPr="00E32AA7">
        <w:t xml:space="preserve">An employee found to have violated this policy may be subject to disciplinary action in accordance with </w:t>
      </w:r>
      <w:r w:rsidR="00465FD7" w:rsidRPr="00101894">
        <w:rPr>
          <w:b/>
          <w:color w:val="FF0000"/>
        </w:rPr>
        <w:t>&lt;Utility Name&gt;</w:t>
      </w:r>
      <w:r w:rsidR="00465FD7">
        <w:t xml:space="preserve"> HR policies</w:t>
      </w:r>
      <w:r w:rsidRPr="00E32AA7">
        <w:t>.</w:t>
      </w:r>
    </w:p>
    <w:p w14:paraId="7E690E2A" w14:textId="77777777" w:rsidR="00D512A2" w:rsidRDefault="00D512A2" w:rsidP="00D512A2">
      <w:pPr>
        <w:pStyle w:val="Heading"/>
      </w:pPr>
      <w:r w:rsidRPr="003874F6">
        <w:t xml:space="preserve">Related Standards, Policies, and Processes </w:t>
      </w:r>
    </w:p>
    <w:p w14:paraId="116DAE19" w14:textId="77777777" w:rsidR="00D512A2" w:rsidRDefault="00D512A2" w:rsidP="00D512A2">
      <w:pPr>
        <w:pStyle w:val="ListParagraph"/>
        <w:numPr>
          <w:ilvl w:val="0"/>
          <w:numId w:val="4"/>
        </w:numPr>
      </w:pPr>
      <w:r>
        <w:t>Adapted from “Cyber Security Policy Framework”</w:t>
      </w:r>
    </w:p>
    <w:p w14:paraId="37BCB346" w14:textId="68F38205" w:rsidR="00D512A2" w:rsidRDefault="0080653C" w:rsidP="00BB6919">
      <w:pPr>
        <w:pStyle w:val="ListParagraph"/>
      </w:pPr>
      <w:r>
        <w:t>(</w:t>
      </w:r>
      <w:hyperlink r:id="rId10" w:history="1">
        <w:r w:rsidRPr="00A66525">
          <w:rPr>
            <w:rStyle w:val="Hyperlink"/>
          </w:rPr>
          <w:t>https://www.nreca.coop/wp-content/uploads/2015/09/cyber_security_policy_framework.docx</w:t>
        </w:r>
      </w:hyperlink>
      <w:r>
        <w:t xml:space="preserve">) </w:t>
      </w:r>
      <w:r w:rsidR="00D512A2">
        <w:rPr>
          <w:rStyle w:val="Hyperlink"/>
        </w:rPr>
        <w:br/>
      </w:r>
      <w:r w:rsidR="00D512A2">
        <w:t>Cyber Security Policy Framework was created by the Kentucky Association of Electric Cooperatives (KAEC) Information Technology (IT) Association - Cyber Security Subcommittee.</w:t>
      </w:r>
      <w:r w:rsidR="00D512A2">
        <w:br/>
      </w:r>
    </w:p>
    <w:p w14:paraId="5D365520" w14:textId="4AE3B4D6" w:rsidR="00D512A2" w:rsidRPr="00FC40FC" w:rsidRDefault="00D512A2" w:rsidP="00D512A2">
      <w:pPr>
        <w:pStyle w:val="ListParagraph"/>
        <w:numPr>
          <w:ilvl w:val="0"/>
          <w:numId w:val="4"/>
        </w:numPr>
      </w:pPr>
      <w:r>
        <w:t>See also, “</w:t>
      </w:r>
      <w:r w:rsidRPr="00FD1E94">
        <w:t>Maintenance, Monitoring, and Analysis of Audit Logs</w:t>
      </w:r>
      <w:r>
        <w:t xml:space="preserve">” </w:t>
      </w:r>
      <w:r w:rsidR="001451F5">
        <w:t>(</w:t>
      </w:r>
      <w:hyperlink r:id="rId11" w:history="1">
        <w:r w:rsidR="0080653C" w:rsidRPr="00A66525">
          <w:rPr>
            <w:rStyle w:val="Hyperlink"/>
          </w:rPr>
          <w:t>http://www.sans.org/critical-security-controls/control/14</w:t>
        </w:r>
      </w:hyperlink>
      <w:r w:rsidR="0080653C">
        <w:t xml:space="preserve">) </w:t>
      </w:r>
      <w:r>
        <w:t>and “</w:t>
      </w:r>
      <w:r w:rsidRPr="002A1BEE">
        <w:t>Account Monitoring and Control</w:t>
      </w:r>
      <w:r>
        <w:t xml:space="preserve">” </w:t>
      </w:r>
      <w:r w:rsidR="00CF04A3">
        <w:t>(</w:t>
      </w:r>
      <w:hyperlink r:id="rId12" w:history="1">
        <w:r w:rsidR="0080653C" w:rsidRPr="00A66525">
          <w:rPr>
            <w:rStyle w:val="Hyperlink"/>
          </w:rPr>
          <w:t>http://www.sans.org/critical-security-controls/control/16</w:t>
        </w:r>
      </w:hyperlink>
      <w:r w:rsidR="0080653C">
        <w:t xml:space="preserve">) </w:t>
      </w:r>
    </w:p>
    <w:p w14:paraId="086C9E85" w14:textId="77777777" w:rsidR="00D512A2" w:rsidRDefault="00D512A2" w:rsidP="00BB6919">
      <w:pPr>
        <w:pStyle w:val="ListParagraph"/>
      </w:pPr>
    </w:p>
    <w:p w14:paraId="4A0A0B63" w14:textId="77777777" w:rsidR="00D512A2" w:rsidRPr="00330EF0" w:rsidRDefault="00D512A2" w:rsidP="009333B8">
      <w:pPr>
        <w:pStyle w:val="ListParagraph"/>
        <w:numPr>
          <w:ilvl w:val="0"/>
          <w:numId w:val="98"/>
        </w:numPr>
        <w:rPr>
          <w:rStyle w:val="Hyperlink"/>
          <w:color w:val="auto"/>
          <w:u w:val="none"/>
        </w:rPr>
      </w:pPr>
      <w:r>
        <w:t>PCI DSS Requirements</w:t>
      </w:r>
      <w:r>
        <w:br/>
      </w:r>
      <w:hyperlink r:id="rId13" w:history="1">
        <w:r w:rsidRPr="009A3317">
          <w:rPr>
            <w:rStyle w:val="Hyperlink"/>
            <w:rFonts w:cstheme="minorHAnsi"/>
          </w:rPr>
          <w:t>https://www.pcisecuritystandards.org/document_library</w:t>
        </w:r>
      </w:hyperlink>
    </w:p>
    <w:p w14:paraId="407FCAF3" w14:textId="3F1A6C51" w:rsidR="00330EF0" w:rsidRDefault="00330EF0">
      <w:r>
        <w:br w:type="page"/>
      </w:r>
    </w:p>
    <w:p w14:paraId="7E63C235" w14:textId="77777777" w:rsidR="00D512A2" w:rsidRPr="003874F6" w:rsidRDefault="00D512A2" w:rsidP="00D512A2">
      <w:pPr>
        <w:pStyle w:val="Heading"/>
      </w:pPr>
      <w:r w:rsidRPr="003874F6">
        <w:t>Responsibilities</w:t>
      </w:r>
    </w:p>
    <w:p w14:paraId="541E6503" w14:textId="5DF5D83E" w:rsidR="00D512A2" w:rsidRPr="00905D50" w:rsidRDefault="00CF04A3" w:rsidP="009F47AA">
      <w:pPr>
        <w:rPr>
          <w:rFonts w:cstheme="minorHAnsi"/>
        </w:rPr>
      </w:pPr>
      <w:r>
        <w:t>The ISP uses the RACI model for assigning responsibility.</w:t>
      </w:r>
    </w:p>
    <w:tbl>
      <w:tblPr>
        <w:tblStyle w:val="GridTable4-Accent21"/>
        <w:tblW w:w="8786" w:type="dxa"/>
        <w:tblLayout w:type="fixed"/>
        <w:tblLook w:val="04A0" w:firstRow="1" w:lastRow="0" w:firstColumn="1" w:lastColumn="0" w:noHBand="0" w:noVBand="1"/>
      </w:tblPr>
      <w:tblGrid>
        <w:gridCol w:w="2196"/>
        <w:gridCol w:w="2196"/>
        <w:gridCol w:w="2197"/>
        <w:gridCol w:w="2197"/>
      </w:tblGrid>
      <w:tr w:rsidR="00D512A2" w14:paraId="073BB9BD" w14:textId="77777777" w:rsidTr="001125B3">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96" w:type="dxa"/>
          </w:tcPr>
          <w:p w14:paraId="2D160460" w14:textId="77777777" w:rsidR="00D512A2" w:rsidRDefault="00D512A2">
            <w:pPr>
              <w:pStyle w:val="Body"/>
              <w:jc w:val="center"/>
            </w:pPr>
            <w:r>
              <w:rPr>
                <w:color w:val="FFFFFF"/>
                <w:u w:color="FFFFFF"/>
              </w:rPr>
              <w:t>Responsible</w:t>
            </w:r>
          </w:p>
        </w:tc>
        <w:tc>
          <w:tcPr>
            <w:tcW w:w="2196" w:type="dxa"/>
          </w:tcPr>
          <w:p w14:paraId="40B29A03" w14:textId="77777777" w:rsidR="00D512A2" w:rsidRDefault="00D512A2">
            <w:pPr>
              <w:pStyle w:val="Body"/>
              <w:spacing w:after="0" w:line="240" w:lineRule="auto"/>
              <w:jc w:val="center"/>
              <w:cnfStyle w:val="100000000000" w:firstRow="1" w:lastRow="0" w:firstColumn="0" w:lastColumn="0" w:oddVBand="0" w:evenVBand="0" w:oddHBand="0" w:evenHBand="0" w:firstRowFirstColumn="0" w:firstRowLastColumn="0" w:lastRowFirstColumn="0" w:lastRowLastColumn="0"/>
            </w:pPr>
            <w:r>
              <w:rPr>
                <w:color w:val="FFFFFF"/>
                <w:u w:color="FFFFFF"/>
              </w:rPr>
              <w:t>Accountable</w:t>
            </w:r>
          </w:p>
        </w:tc>
        <w:tc>
          <w:tcPr>
            <w:tcW w:w="2197" w:type="dxa"/>
          </w:tcPr>
          <w:p w14:paraId="1ECB3557" w14:textId="77777777" w:rsidR="00D512A2" w:rsidRDefault="00D512A2">
            <w:pPr>
              <w:pStyle w:val="Body"/>
              <w:spacing w:after="0" w:line="240" w:lineRule="auto"/>
              <w:jc w:val="center"/>
              <w:cnfStyle w:val="100000000000" w:firstRow="1" w:lastRow="0" w:firstColumn="0" w:lastColumn="0" w:oddVBand="0" w:evenVBand="0" w:oddHBand="0" w:evenHBand="0" w:firstRowFirstColumn="0" w:firstRowLastColumn="0" w:lastRowFirstColumn="0" w:lastRowLastColumn="0"/>
            </w:pPr>
            <w:r>
              <w:rPr>
                <w:color w:val="FFFFFF"/>
                <w:u w:color="FFFFFF"/>
              </w:rPr>
              <w:t>Consulted</w:t>
            </w:r>
          </w:p>
        </w:tc>
        <w:tc>
          <w:tcPr>
            <w:tcW w:w="2197" w:type="dxa"/>
          </w:tcPr>
          <w:p w14:paraId="74CA12AF" w14:textId="77777777" w:rsidR="00D512A2" w:rsidRDefault="00D512A2">
            <w:pPr>
              <w:pStyle w:val="Body"/>
              <w:spacing w:after="0" w:line="240" w:lineRule="auto"/>
              <w:jc w:val="center"/>
              <w:cnfStyle w:val="100000000000" w:firstRow="1" w:lastRow="0" w:firstColumn="0" w:lastColumn="0" w:oddVBand="0" w:evenVBand="0" w:oddHBand="0" w:evenHBand="0" w:firstRowFirstColumn="0" w:firstRowLastColumn="0" w:lastRowFirstColumn="0" w:lastRowLastColumn="0"/>
            </w:pPr>
            <w:r>
              <w:rPr>
                <w:color w:val="FFFFFF"/>
                <w:u w:color="FFFFFF"/>
              </w:rPr>
              <w:t>Informed</w:t>
            </w:r>
          </w:p>
        </w:tc>
      </w:tr>
      <w:tr w:rsidR="00D512A2" w14:paraId="2D1FB21D" w14:textId="77777777" w:rsidTr="001125B3">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96" w:type="dxa"/>
          </w:tcPr>
          <w:p w14:paraId="19514C5F" w14:textId="77777777" w:rsidR="001125B3" w:rsidRDefault="001125B3" w:rsidP="00BB6919">
            <w:pPr>
              <w:pStyle w:val="Body"/>
              <w:spacing w:after="0" w:line="240" w:lineRule="auto"/>
              <w:jc w:val="center"/>
              <w:rPr>
                <w:bCs w:val="0"/>
              </w:rPr>
            </w:pPr>
          </w:p>
          <w:p w14:paraId="5EEBA1A4" w14:textId="77777777" w:rsidR="00D512A2" w:rsidRPr="001125B3" w:rsidRDefault="00D512A2" w:rsidP="00BB6919">
            <w:pPr>
              <w:pStyle w:val="Body"/>
              <w:spacing w:after="0" w:line="240" w:lineRule="auto"/>
              <w:jc w:val="center"/>
              <w:rPr>
                <w:bCs w:val="0"/>
              </w:rPr>
            </w:pPr>
            <w:r w:rsidRPr="001125B3">
              <w:rPr>
                <w:bCs w:val="0"/>
              </w:rPr>
              <w:t>IT Manager</w:t>
            </w:r>
          </w:p>
        </w:tc>
        <w:tc>
          <w:tcPr>
            <w:tcW w:w="2196" w:type="dxa"/>
          </w:tcPr>
          <w:p w14:paraId="10A4F536" w14:textId="77777777" w:rsidR="001125B3" w:rsidRDefault="001125B3">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rPr>
                <w:b/>
                <w:bCs/>
              </w:rPr>
            </w:pPr>
          </w:p>
          <w:p w14:paraId="235FC9EC" w14:textId="77777777" w:rsidR="00D512A2" w:rsidRDefault="00D512A2">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r>
              <w:rPr>
                <w:b/>
                <w:bCs/>
              </w:rPr>
              <w:t>CEO/GM</w:t>
            </w:r>
          </w:p>
        </w:tc>
        <w:tc>
          <w:tcPr>
            <w:tcW w:w="2197" w:type="dxa"/>
          </w:tcPr>
          <w:p w14:paraId="2CD22A24" w14:textId="77777777" w:rsidR="001125B3" w:rsidRDefault="001125B3">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rPr>
                <w:b/>
                <w:bCs/>
              </w:rPr>
            </w:pPr>
          </w:p>
          <w:p w14:paraId="15A784E4" w14:textId="77777777" w:rsidR="00D512A2" w:rsidRDefault="00D512A2">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System Admin</w:t>
            </w:r>
          </w:p>
          <w:p w14:paraId="56A1E230" w14:textId="77777777" w:rsidR="00D512A2" w:rsidRDefault="00D512A2">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r>
              <w:rPr>
                <w:b/>
                <w:bCs/>
              </w:rPr>
              <w:t>Network Admin</w:t>
            </w:r>
          </w:p>
        </w:tc>
        <w:tc>
          <w:tcPr>
            <w:tcW w:w="2197" w:type="dxa"/>
          </w:tcPr>
          <w:p w14:paraId="1B6F3098" w14:textId="77777777" w:rsidR="001125B3" w:rsidRDefault="001125B3">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rPr>
                <w:b/>
              </w:rPr>
            </w:pPr>
          </w:p>
          <w:p w14:paraId="13A7F2F1" w14:textId="77777777" w:rsidR="00D512A2" w:rsidRDefault="00D512A2">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r w:rsidRPr="003840FF">
              <w:rPr>
                <w:b/>
              </w:rPr>
              <w:t>IT Department</w:t>
            </w:r>
          </w:p>
        </w:tc>
      </w:tr>
    </w:tbl>
    <w:p w14:paraId="3400BC9B" w14:textId="5047B64D" w:rsidR="00D512A2" w:rsidRDefault="00D512A2">
      <w:pPr>
        <w:pStyle w:val="Body"/>
        <w:ind w:left="1080"/>
      </w:pPr>
      <w:r>
        <w:rPr>
          <w:i/>
          <w:iCs/>
          <w:color w:val="0070C0"/>
          <w:u w:color="0070C0"/>
        </w:rPr>
        <w:t xml:space="preserve"> [Explanatory Note:  </w:t>
      </w:r>
      <w:r w:rsidR="00465FD7">
        <w:rPr>
          <w:i/>
          <w:iCs/>
          <w:color w:val="0070C0"/>
          <w:u w:color="0070C0"/>
        </w:rPr>
        <w:t>&lt;Utility Name&gt;</w:t>
      </w:r>
      <w:r>
        <w:rPr>
          <w:i/>
          <w:iCs/>
          <w:color w:val="0070C0"/>
          <w:u w:color="0070C0"/>
        </w:rPr>
        <w:t xml:space="preserve"> should feel free to alter section to reflect the specific responsibility requirement determined by </w:t>
      </w:r>
      <w:r w:rsidR="00465FD7">
        <w:rPr>
          <w:i/>
          <w:iCs/>
          <w:color w:val="0070C0"/>
          <w:u w:color="0070C0"/>
        </w:rPr>
        <w:t>&lt;Utility Name&gt; management</w:t>
      </w:r>
      <w:r>
        <w:rPr>
          <w:i/>
          <w:iCs/>
          <w:color w:val="0070C0"/>
          <w:u w:color="0070C0"/>
        </w:rPr>
        <w:t>.]</w:t>
      </w:r>
    </w:p>
    <w:p w14:paraId="1B505762" w14:textId="77777777" w:rsidR="00D512A2" w:rsidRPr="003874F6" w:rsidRDefault="00D512A2" w:rsidP="00D512A2">
      <w:pPr>
        <w:pStyle w:val="Heading"/>
      </w:pPr>
      <w:r w:rsidRPr="003874F6">
        <w:rPr>
          <w:lang w:val="it-IT"/>
        </w:rPr>
        <w:t>Approval</w:t>
      </w:r>
    </w:p>
    <w:p w14:paraId="7435129B" w14:textId="77777777" w:rsidR="00D512A2" w:rsidRDefault="00D512A2">
      <w:pPr>
        <w:pStyle w:val="Body"/>
        <w:spacing w:after="0" w:line="240" w:lineRule="auto"/>
      </w:pPr>
    </w:p>
    <w:p w14:paraId="3317B381" w14:textId="77777777" w:rsidR="00D512A2" w:rsidRDefault="00D512A2">
      <w:pPr>
        <w:pStyle w:val="Body"/>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2F4E249F" w14:textId="77777777" w:rsidR="00D512A2" w:rsidRDefault="00D512A2">
      <w:pPr>
        <w:pStyle w:val="Body"/>
        <w:spacing w:after="0" w:line="240" w:lineRule="auto"/>
      </w:pPr>
      <w:r>
        <w:rPr>
          <w:color w:val="FF0000"/>
          <w:u w:color="FF0000"/>
        </w:rPr>
        <w:t>&lt;</w:t>
      </w:r>
      <w:r>
        <w:rPr>
          <w:b/>
          <w:bCs/>
          <w:color w:val="FF0000"/>
          <w:u w:color="FF0000"/>
        </w:rPr>
        <w:t>Insert title of approver</w:t>
      </w:r>
      <w:r>
        <w:rPr>
          <w:color w:val="FF0000"/>
          <w:u w:color="FF0000"/>
        </w:rPr>
        <w:t>&gt;</w:t>
      </w:r>
      <w:r>
        <w:rPr>
          <w:lang w:val="de-DE"/>
        </w:rPr>
        <w:tab/>
      </w:r>
      <w:r>
        <w:rPr>
          <w:lang w:val="de-DE"/>
        </w:rPr>
        <w:tab/>
      </w:r>
      <w:r>
        <w:rPr>
          <w:lang w:val="de-DE"/>
        </w:rPr>
        <w:tab/>
      </w:r>
      <w:r>
        <w:rPr>
          <w:lang w:val="de-DE"/>
        </w:rPr>
        <w:tab/>
      </w:r>
      <w:r>
        <w:rPr>
          <w:lang w:val="de-DE"/>
        </w:rPr>
        <w:tab/>
      </w:r>
      <w:r>
        <w:rPr>
          <w:lang w:val="de-DE"/>
        </w:rPr>
        <w:tab/>
        <w:t>Date</w:t>
      </w:r>
    </w:p>
    <w:p w14:paraId="63DFA98C" w14:textId="77777777" w:rsidR="00D512A2" w:rsidRDefault="00D512A2">
      <w:pPr>
        <w:pStyle w:val="Body"/>
        <w:spacing w:after="0" w:line="240" w:lineRule="auto"/>
      </w:pPr>
    </w:p>
    <w:p w14:paraId="16784C22" w14:textId="77777777" w:rsidR="00D512A2" w:rsidRDefault="00D512A2">
      <w:pPr>
        <w:pStyle w:val="Body"/>
        <w:spacing w:after="0" w:line="240" w:lineRule="auto"/>
      </w:pPr>
    </w:p>
    <w:p w14:paraId="200D79E3" w14:textId="77777777" w:rsidR="00D512A2" w:rsidRDefault="00D512A2">
      <w:pPr>
        <w:pStyle w:val="Body"/>
        <w:spacing w:after="0" w:line="240" w:lineRule="auto"/>
      </w:pPr>
    </w:p>
    <w:p w14:paraId="4009C285" w14:textId="77777777" w:rsidR="00D512A2" w:rsidRPr="003874F6" w:rsidRDefault="00D512A2" w:rsidP="00D512A2">
      <w:pPr>
        <w:pStyle w:val="Heading"/>
      </w:pPr>
      <w:r>
        <w:rPr>
          <w:lang w:val="it-IT"/>
        </w:rPr>
        <w:t>Revision History</w:t>
      </w:r>
    </w:p>
    <w:p w14:paraId="517845FA" w14:textId="77777777" w:rsidR="00D512A2" w:rsidRDefault="00D512A2">
      <w:pPr>
        <w:pStyle w:val="Body"/>
        <w:spacing w:after="0" w:line="240" w:lineRule="auto"/>
      </w:pPr>
    </w:p>
    <w:tbl>
      <w:tblPr>
        <w:tblW w:w="8849" w:type="dxa"/>
        <w:tblInd w:w="5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69"/>
        <w:gridCol w:w="1874"/>
        <w:gridCol w:w="5106"/>
      </w:tblGrid>
      <w:tr w:rsidR="00D512A2" w14:paraId="712B512C" w14:textId="77777777" w:rsidTr="00BB6919">
        <w:trPr>
          <w:trHeight w:val="241"/>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1639C" w14:textId="77777777" w:rsidR="00D512A2" w:rsidRDefault="00D512A2">
            <w:pPr>
              <w:pStyle w:val="Body"/>
            </w:pPr>
            <w:r>
              <w:t>Date of Change(s)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71EB5" w14:textId="77777777" w:rsidR="00D512A2" w:rsidRDefault="00D512A2">
            <w:pPr>
              <w:pStyle w:val="Body"/>
              <w:spacing w:after="0" w:line="240" w:lineRule="auto"/>
            </w:pPr>
            <w:r>
              <w:t>Revised by</w:t>
            </w:r>
          </w:p>
        </w:tc>
        <w:tc>
          <w:tcPr>
            <w:tcW w:w="5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1C0B8" w14:textId="77777777" w:rsidR="00D512A2" w:rsidRDefault="00D512A2">
            <w:pPr>
              <w:pStyle w:val="Body"/>
              <w:spacing w:after="0" w:line="240" w:lineRule="auto"/>
            </w:pPr>
            <w:r>
              <w:t>Summary of Change(s)</w:t>
            </w:r>
          </w:p>
        </w:tc>
      </w:tr>
      <w:tr w:rsidR="00D512A2" w14:paraId="49C6F191" w14:textId="77777777" w:rsidTr="00BB6919">
        <w:trPr>
          <w:trHeight w:val="241"/>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5E86B" w14:textId="77777777" w:rsidR="00D512A2" w:rsidRDefault="00D512A2"/>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205D9" w14:textId="77777777" w:rsidR="00D512A2" w:rsidRDefault="00D512A2"/>
        </w:tc>
        <w:tc>
          <w:tcPr>
            <w:tcW w:w="5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7196A" w14:textId="77777777" w:rsidR="00D512A2" w:rsidRDefault="00D512A2"/>
        </w:tc>
      </w:tr>
      <w:tr w:rsidR="00D512A2" w14:paraId="2EF6183B" w14:textId="77777777" w:rsidTr="00BB6919">
        <w:trPr>
          <w:trHeight w:val="241"/>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E1D77" w14:textId="77777777" w:rsidR="00D512A2" w:rsidRDefault="00D512A2"/>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D5D9C" w14:textId="77777777" w:rsidR="00D512A2" w:rsidRDefault="00D512A2"/>
        </w:tc>
        <w:tc>
          <w:tcPr>
            <w:tcW w:w="5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CFB6B" w14:textId="77777777" w:rsidR="00D512A2" w:rsidRDefault="00D512A2"/>
        </w:tc>
      </w:tr>
      <w:tr w:rsidR="00D512A2" w14:paraId="5AC22F63" w14:textId="77777777" w:rsidTr="00BB6919">
        <w:trPr>
          <w:trHeight w:val="241"/>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C598A" w14:textId="77777777" w:rsidR="00D512A2" w:rsidRDefault="00D512A2"/>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3CF43" w14:textId="77777777" w:rsidR="00D512A2" w:rsidRDefault="00D512A2"/>
        </w:tc>
        <w:tc>
          <w:tcPr>
            <w:tcW w:w="5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305CC" w14:textId="77777777" w:rsidR="00D512A2" w:rsidRDefault="00D512A2"/>
        </w:tc>
      </w:tr>
      <w:tr w:rsidR="00D512A2" w14:paraId="0F95904D" w14:textId="77777777" w:rsidTr="00BB6919">
        <w:trPr>
          <w:trHeight w:val="241"/>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0BF5B" w14:textId="77777777" w:rsidR="00D512A2" w:rsidRDefault="00D512A2"/>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9F075" w14:textId="77777777" w:rsidR="00D512A2" w:rsidRDefault="00D512A2"/>
        </w:tc>
        <w:tc>
          <w:tcPr>
            <w:tcW w:w="5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A8FA6" w14:textId="77777777" w:rsidR="00D512A2" w:rsidRDefault="00D512A2"/>
        </w:tc>
      </w:tr>
    </w:tbl>
    <w:p w14:paraId="77CD87E7" w14:textId="77777777" w:rsidR="00D512A2" w:rsidRDefault="00D512A2" w:rsidP="00D512A2"/>
    <w:p w14:paraId="22E39005" w14:textId="646E33B3" w:rsidR="00D512A2" w:rsidRDefault="00D512A2">
      <w:pPr>
        <w:rPr>
          <w:b/>
        </w:rPr>
      </w:pPr>
    </w:p>
    <w:sectPr w:rsidR="00D512A2" w:rsidSect="003A2211">
      <w:headerReference w:type="even" r:id="rId14"/>
      <w:headerReference w:type="default" r:id="rId15"/>
      <w:footerReference w:type="even"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5F762DBB"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3A2211">
      <w:rPr>
        <w:rFonts w:eastAsiaTheme="minorEastAsia"/>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09529D63"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3A2211">
      <w:rPr>
        <w:rFonts w:eastAsiaTheme="minorEastAsia"/>
      </w:rPr>
      <w:t>_____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3452A54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25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506B"/>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47633"/>
    <w:rsid w:val="00251701"/>
    <w:rsid w:val="0025177B"/>
    <w:rsid w:val="002520A4"/>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0EF0"/>
    <w:rsid w:val="003333D3"/>
    <w:rsid w:val="00334862"/>
    <w:rsid w:val="00345B95"/>
    <w:rsid w:val="0034623A"/>
    <w:rsid w:val="003543C5"/>
    <w:rsid w:val="00354A30"/>
    <w:rsid w:val="00354C89"/>
    <w:rsid w:val="0037120D"/>
    <w:rsid w:val="00372D26"/>
    <w:rsid w:val="00375B19"/>
    <w:rsid w:val="00377F30"/>
    <w:rsid w:val="00394076"/>
    <w:rsid w:val="0039733E"/>
    <w:rsid w:val="003A113E"/>
    <w:rsid w:val="003A2211"/>
    <w:rsid w:val="003A27D9"/>
    <w:rsid w:val="003A401A"/>
    <w:rsid w:val="003A683D"/>
    <w:rsid w:val="003A7494"/>
    <w:rsid w:val="003B3F44"/>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3F32"/>
    <w:rsid w:val="00557F06"/>
    <w:rsid w:val="00560B22"/>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56C"/>
    <w:rsid w:val="007C4EC1"/>
    <w:rsid w:val="007D0BF4"/>
    <w:rsid w:val="007D35A1"/>
    <w:rsid w:val="007D410C"/>
    <w:rsid w:val="007E17F2"/>
    <w:rsid w:val="007E2E91"/>
    <w:rsid w:val="007F4E93"/>
    <w:rsid w:val="007F519A"/>
    <w:rsid w:val="007F62CF"/>
    <w:rsid w:val="007F72A3"/>
    <w:rsid w:val="00804400"/>
    <w:rsid w:val="0080450A"/>
    <w:rsid w:val="0080653C"/>
    <w:rsid w:val="008072B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378"/>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64FD2"/>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1E7B"/>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46A78"/>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7DE0"/>
    <w:rsid w:val="00C81CB1"/>
    <w:rsid w:val="00C825FF"/>
    <w:rsid w:val="00C85642"/>
    <w:rsid w:val="00C90625"/>
    <w:rsid w:val="00C914EB"/>
    <w:rsid w:val="00C95C5A"/>
    <w:rsid w:val="00CA099E"/>
    <w:rsid w:val="00CA636E"/>
    <w:rsid w:val="00CB4F25"/>
    <w:rsid w:val="00CB78B4"/>
    <w:rsid w:val="00CC049E"/>
    <w:rsid w:val="00CC5DFA"/>
    <w:rsid w:val="00CD6EF1"/>
    <w:rsid w:val="00CD7E2A"/>
    <w:rsid w:val="00CF04A3"/>
    <w:rsid w:val="00CF072A"/>
    <w:rsid w:val="00CF329F"/>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37C5"/>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87E8F"/>
    <w:rsid w:val="00E92F6F"/>
    <w:rsid w:val="00EB1A3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3BA2"/>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964FD2"/>
    <w:pPr>
      <w:keepNext/>
      <w:keepLines/>
      <w:numPr>
        <w:ilvl w:val="2"/>
        <w:numId w:val="5"/>
      </w:numPr>
      <w:spacing w:before="40" w:after="0" w:line="259" w:lineRule="auto"/>
      <w:ind w:left="1800"/>
      <w:outlineLvl w:val="2"/>
    </w:pPr>
    <w:rPr>
      <w:rFonts w:eastAsiaTheme="majorEastAsia" w:cstheme="minorHAnsi"/>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964FD2"/>
    <w:rPr>
      <w:rFonts w:eastAsiaTheme="majorEastAsia" w:cstheme="minorHAnsi"/>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cisecuritystandards.org/document_library"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ans.org/critical-security-controls/control/16"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ns.org/critical-security-controls/control/14"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nreca.coop/wp-content/uploads/2015/09/cyber_security_policy_framework.doc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733B42-034C-4DD3-BFB1-4C29B62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26</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6</cp:revision>
  <dcterms:created xsi:type="dcterms:W3CDTF">2016-06-10T15:58:00Z</dcterms:created>
  <dcterms:modified xsi:type="dcterms:W3CDTF">2016-06-10T16:28:00Z</dcterms:modified>
</cp:coreProperties>
</file>