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8E743" w14:textId="77777777" w:rsidR="00D512A2" w:rsidRDefault="00D512A2" w:rsidP="00BB6919">
      <w:r>
        <w:rPr>
          <w:noProof/>
        </w:rPr>
        <w:drawing>
          <wp:inline distT="0" distB="0" distL="0" distR="0" wp14:anchorId="2696E48C" wp14:editId="5BC1CA21">
            <wp:extent cx="582843" cy="732450"/>
            <wp:effectExtent l="38100" t="38100" r="84455" b="67945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</w:p>
    <w:p w14:paraId="496CA7D7" w14:textId="77777777" w:rsidR="00D512A2" w:rsidRDefault="00D512A2" w:rsidP="00D512A2">
      <w:pPr>
        <w:pStyle w:val="Title"/>
        <w:jc w:val="center"/>
      </w:pPr>
      <w:bookmarkStart w:id="0" w:name="_Toc452019038"/>
      <w:bookmarkStart w:id="1" w:name="_Toc453241979"/>
      <w:r>
        <w:t>Data Encryption Policy</w:t>
      </w:r>
      <w:bookmarkEnd w:id="0"/>
      <w:bookmarkEnd w:id="1"/>
    </w:p>
    <w:p w14:paraId="686FCD47" w14:textId="77777777" w:rsidR="00D512A2" w:rsidRDefault="00D512A2" w:rsidP="009333B8">
      <w:pPr>
        <w:pStyle w:val="Heading1"/>
        <w:numPr>
          <w:ilvl w:val="0"/>
          <w:numId w:val="100"/>
        </w:numPr>
        <w:ind w:left="360" w:hanging="360"/>
      </w:pPr>
      <w:r>
        <w:t>Overview/Purpose</w:t>
      </w:r>
    </w:p>
    <w:p w14:paraId="24230565" w14:textId="37E72545" w:rsidR="00D512A2" w:rsidRPr="00EC0A3C" w:rsidRDefault="00D512A2" w:rsidP="00787DE8">
      <w:pPr>
        <w:rPr>
          <w:rStyle w:val="NoneA"/>
          <w:rFonts w:ascii="Calibri" w:eastAsia="Calibri" w:hAnsi="Calibri" w:cs="Calibri"/>
        </w:rPr>
      </w:pPr>
      <w:r>
        <w:t xml:space="preserve">This policy sets guidelines for the use of encryption to ensure that </w:t>
      </w:r>
      <w:r w:rsidRPr="00783CF4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783CF4">
        <w:rPr>
          <w:b/>
          <w:color w:val="FF0000"/>
        </w:rPr>
        <w:t>&gt;</w:t>
      </w:r>
      <w:r>
        <w:t xml:space="preserve"> can leverage cryptographic software and techniques to safeguard our member data and our operations, while mitigating the attendant risks.</w:t>
      </w:r>
    </w:p>
    <w:p w14:paraId="6E92BD0B" w14:textId="77777777" w:rsidR="00D512A2" w:rsidRDefault="00D512A2" w:rsidP="00905D50">
      <w:pPr>
        <w:pStyle w:val="Heading1"/>
        <w:ind w:left="360" w:hanging="360"/>
      </w:pPr>
      <w:r>
        <w:t>Scope</w:t>
      </w:r>
    </w:p>
    <w:p w14:paraId="0E6B4888" w14:textId="398DA787" w:rsidR="00D512A2" w:rsidRPr="00BF018B" w:rsidRDefault="00D512A2" w:rsidP="00787DE8">
      <w:r>
        <w:t xml:space="preserve">This policy shall apply to all uses of encryption within </w:t>
      </w:r>
      <w:r>
        <w:rPr>
          <w:b/>
          <w:bCs/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</w:rPr>
        <w:t>Utility Name</w:t>
      </w:r>
      <w:r>
        <w:rPr>
          <w:b/>
          <w:bCs/>
          <w:color w:val="FF0000"/>
          <w:u w:color="FF0000"/>
        </w:rPr>
        <w:t>&gt;</w:t>
      </w:r>
      <w:r>
        <w:t>.</w:t>
      </w:r>
    </w:p>
    <w:p w14:paraId="44CA54DC" w14:textId="77777777" w:rsidR="00D512A2" w:rsidRDefault="00D512A2" w:rsidP="00905D50">
      <w:pPr>
        <w:pStyle w:val="Heading1"/>
        <w:ind w:left="360" w:hanging="360"/>
      </w:pPr>
      <w:r>
        <w:t>Policy</w:t>
      </w:r>
    </w:p>
    <w:p w14:paraId="3FC00B7F" w14:textId="1087B643" w:rsidR="00D512A2" w:rsidRDefault="00D512A2" w:rsidP="00787DE8">
      <w:r>
        <w:rPr>
          <w:u w:color="000000"/>
        </w:rPr>
        <w:t xml:space="preserve">It is the responsibility of employees, contractors, vendors and agents with access to </w:t>
      </w:r>
      <w:r w:rsidR="009A03EA" w:rsidRPr="00DB2E73">
        <w:rPr>
          <w:u w:color="FF0000"/>
        </w:rPr>
        <w:t>the</w:t>
      </w:r>
      <w:r>
        <w:rPr>
          <w:u w:color="000000"/>
        </w:rPr>
        <w:t xml:space="preserve"> network to ensure that confidential data is encrypted at rest and in transit, whenever practical.  Confidential data shall be encrypted at rest, and when it leaves </w:t>
      </w:r>
      <w:r w:rsidR="00251701" w:rsidRPr="008232AF">
        <w:rPr>
          <w:bCs/>
          <w:u w:color="FF0000"/>
        </w:rPr>
        <w:t xml:space="preserve">the utility’s </w:t>
      </w:r>
      <w:r>
        <w:rPr>
          <w:u w:color="000000"/>
        </w:rPr>
        <w:t>premises.  This includes:</w:t>
      </w:r>
    </w:p>
    <w:p w14:paraId="4585EB8A" w14:textId="4E747076" w:rsidR="00D512A2" w:rsidRPr="00EC0A3C" w:rsidRDefault="00D512A2" w:rsidP="009333B8">
      <w:pPr>
        <w:pStyle w:val="ListParagraph"/>
        <w:numPr>
          <w:ilvl w:val="0"/>
          <w:numId w:val="98"/>
        </w:numPr>
      </w:pPr>
      <w:r>
        <w:t>Databases with PII data or other confidential information accordingly to data classification</w:t>
      </w:r>
      <w:r w:rsidR="00251701">
        <w:t>,</w:t>
      </w:r>
    </w:p>
    <w:p w14:paraId="3DA9F642" w14:textId="21E8F4FF" w:rsidR="00D512A2" w:rsidRDefault="00251701" w:rsidP="009333B8">
      <w:pPr>
        <w:pStyle w:val="ListParagraph"/>
        <w:numPr>
          <w:ilvl w:val="0"/>
          <w:numId w:val="98"/>
        </w:numPr>
      </w:pPr>
      <w:r w:rsidRPr="009A3317">
        <w:rPr>
          <w:bCs/>
          <w:u w:color="FF0000"/>
        </w:rPr>
        <w:t>L</w:t>
      </w:r>
      <w:r w:rsidR="00D512A2">
        <w:t>aptops and other mobile devices</w:t>
      </w:r>
      <w:r>
        <w:t>,</w:t>
      </w:r>
    </w:p>
    <w:p w14:paraId="3C5915BF" w14:textId="010B9E4D" w:rsidR="00D512A2" w:rsidRDefault="00D512A2" w:rsidP="009333B8">
      <w:pPr>
        <w:pStyle w:val="ListParagraph"/>
        <w:numPr>
          <w:ilvl w:val="0"/>
          <w:numId w:val="98"/>
        </w:numPr>
      </w:pPr>
      <w:r>
        <w:t>Portable data storage devices</w:t>
      </w:r>
      <w:r w:rsidR="00B66C2B">
        <w:t>,</w:t>
      </w:r>
    </w:p>
    <w:p w14:paraId="40A41D13" w14:textId="77777777" w:rsidR="00D512A2" w:rsidRDefault="00D512A2" w:rsidP="009333B8">
      <w:pPr>
        <w:pStyle w:val="ListParagraph"/>
        <w:numPr>
          <w:ilvl w:val="0"/>
          <w:numId w:val="98"/>
        </w:numPr>
      </w:pPr>
      <w:r>
        <w:t>Off-site backups.</w:t>
      </w:r>
      <w:r>
        <w:br/>
      </w:r>
    </w:p>
    <w:p w14:paraId="3CFDE5F1" w14:textId="77777777" w:rsidR="00D512A2" w:rsidRDefault="00D512A2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>Transport layer security</w:t>
      </w:r>
    </w:p>
    <w:p w14:paraId="79533421" w14:textId="3A1B0B0F" w:rsidR="00B66C2B" w:rsidRDefault="00D512A2" w:rsidP="00905D50">
      <w:pPr>
        <w:ind w:left="360"/>
        <w:rPr>
          <w:b/>
          <w:bCs/>
          <w:color w:val="FF0000"/>
          <w:u w:color="FF0000"/>
        </w:rPr>
      </w:pPr>
      <w:r>
        <w:rPr>
          <w:u w:color="000000"/>
        </w:rPr>
        <w:t xml:space="preserve">The use of Transport Layer Security is strongly encouraged for all employee and contractor web browsing and for use on </w:t>
      </w:r>
      <w:r>
        <w:rPr>
          <w:u w:color="000000"/>
          <w:lang w:val="it-IT"/>
        </w:rPr>
        <w:t>web servers.</w:t>
      </w:r>
      <w:r w:rsidR="00721F8F">
        <w:rPr>
          <w:u w:color="000000"/>
          <w:lang w:val="it-IT"/>
        </w:rPr>
        <w:t xml:space="preserve">  All non-console administration access to cardholder data will require the use of strong transmission encryption.</w:t>
      </w:r>
      <w:r w:rsidR="005D0649">
        <w:rPr>
          <w:u w:color="000000"/>
          <w:lang w:val="it-IT"/>
        </w:rPr>
        <w:t xml:space="preserve">  Such data should never be transmitted via end-user messaging technologies, including email and text messages.</w:t>
      </w:r>
      <w:r>
        <w:br/>
      </w:r>
    </w:p>
    <w:p w14:paraId="736B2D08" w14:textId="0803C496" w:rsidR="00D512A2" w:rsidRDefault="00D512A2" w:rsidP="00905D50">
      <w:pPr>
        <w:ind w:left="360"/>
      </w:pPr>
      <w:r>
        <w:rPr>
          <w:b/>
          <w:bCs/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</w:rPr>
        <w:t>Utility Name</w:t>
      </w:r>
      <w:r>
        <w:rPr>
          <w:b/>
          <w:bCs/>
          <w:color w:val="FF0000"/>
          <w:u w:color="FF0000"/>
        </w:rPr>
        <w:t>&gt;</w:t>
      </w:r>
      <w:r>
        <w:rPr>
          <w:u w:color="000000"/>
        </w:rPr>
        <w:t xml:space="preserve"> web servers should be configured to use most recent TLS, but no earlier than TLS 1.2.</w:t>
      </w:r>
    </w:p>
    <w:p w14:paraId="71AB8DFB" w14:textId="77777777" w:rsidR="00D512A2" w:rsidRDefault="00D512A2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>Database and shared storage device encryption</w:t>
      </w:r>
    </w:p>
    <w:p w14:paraId="5D72BC9C" w14:textId="3E763248" w:rsidR="00D512A2" w:rsidRPr="008F40B3" w:rsidRDefault="00D512A2" w:rsidP="00905D50">
      <w:pPr>
        <w:ind w:left="360"/>
      </w:pPr>
      <w:r>
        <w:t xml:space="preserve">Databases </w:t>
      </w:r>
      <w:r w:rsidRPr="001A23C5">
        <w:rPr>
          <w:rFonts w:eastAsia="Calibri" w:cstheme="minorHAnsi"/>
          <w:bCs/>
          <w:u w:color="FF0000"/>
        </w:rPr>
        <w:t>and shared storage devices such as server, SAN, or NAS disks,</w:t>
      </w:r>
      <w:r w:rsidRPr="00BC069E">
        <w:rPr>
          <w:rFonts w:cstheme="minorHAnsi"/>
        </w:rPr>
        <w:t xml:space="preserve"> </w:t>
      </w:r>
      <w:r>
        <w:t xml:space="preserve">shall utilize data encryption either made available by the database vendor, or by using third party solutions.  The encryption methodology implemented should meet or exceed the requirements in NIST 800-111, </w:t>
      </w:r>
      <w:r w:rsidRPr="00254B42">
        <w:t>Guide to Storage Encryption Technologies for End User Devices</w:t>
      </w:r>
      <w:r>
        <w:t>.</w:t>
      </w:r>
    </w:p>
    <w:p w14:paraId="15BA9234" w14:textId="77777777" w:rsidR="00D512A2" w:rsidRDefault="00D512A2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>Full disk encryption</w:t>
      </w:r>
    </w:p>
    <w:p w14:paraId="383C67AC" w14:textId="04CE8763" w:rsidR="00D512A2" w:rsidRDefault="00D512A2" w:rsidP="00905D50">
      <w:pPr>
        <w:ind w:left="360"/>
      </w:pPr>
      <w:r>
        <w:rPr>
          <w:u w:color="000000"/>
        </w:rPr>
        <w:t>Every workstation, laptop and mobile device should have full disk encryption enabled and configured, according to best practices for that platform.</w:t>
      </w:r>
    </w:p>
    <w:p w14:paraId="006213CB" w14:textId="77777777" w:rsidR="00D512A2" w:rsidRDefault="00D512A2" w:rsidP="00905D50">
      <w:pPr>
        <w:ind w:left="360"/>
      </w:pPr>
      <w:r>
        <w:rPr>
          <w:u w:color="000000"/>
        </w:rPr>
        <w:t xml:space="preserve">Suspend-to-ram (S3 or </w:t>
      </w:r>
      <w:r>
        <w:rPr>
          <w:u w:color="000000"/>
          <w:lang w:val="de-DE"/>
        </w:rPr>
        <w:t>“</w:t>
      </w:r>
      <w:r>
        <w:rPr>
          <w:u w:color="000000"/>
        </w:rPr>
        <w:t>sleep”) shall be disabled for platforms which hold encryption keys in memory while suspended.  This includes Windows, Linux and Android operating systems, and excludes Apple OS X and iOS devices as well as Google Chromebooks.</w:t>
      </w:r>
    </w:p>
    <w:p w14:paraId="4D9E1236" w14:textId="77777777" w:rsidR="00D512A2" w:rsidRDefault="00D512A2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>Procuring secure encryption software</w:t>
      </w:r>
    </w:p>
    <w:p w14:paraId="442D75B0" w14:textId="57FEE003" w:rsidR="00D512A2" w:rsidRDefault="00D512A2" w:rsidP="00905D50">
      <w:pPr>
        <w:ind w:left="360"/>
      </w:pPr>
      <w:r>
        <w:rPr>
          <w:u w:color="000000"/>
        </w:rPr>
        <w:t xml:space="preserve">All encryption software used must be approved for use by </w:t>
      </w:r>
      <w:r w:rsidRPr="008232AF">
        <w:rPr>
          <w:b/>
          <w:color w:val="FF0000"/>
          <w:u w:color="FF0000"/>
        </w:rPr>
        <w:t>&lt;person or department responsible for this policy&gt;</w:t>
      </w:r>
      <w:r>
        <w:rPr>
          <w:u w:color="000000"/>
        </w:rPr>
        <w:t>.</w:t>
      </w:r>
    </w:p>
    <w:p w14:paraId="1F08C186" w14:textId="77777777" w:rsidR="00D512A2" w:rsidRDefault="00D512A2" w:rsidP="00905D50">
      <w:pPr>
        <w:ind w:left="360"/>
      </w:pPr>
      <w:r>
        <w:rPr>
          <w:u w:color="000000"/>
        </w:rPr>
        <w:t xml:space="preserve">Encryption software must be actively supported and audited for security to be eligible for approval.  The </w:t>
      </w:r>
      <w:r>
        <w:rPr>
          <w:b/>
          <w:bCs/>
          <w:color w:val="FF0000"/>
          <w:u w:color="FF0000"/>
        </w:rPr>
        <w:t>&lt;person or department responsible for this policy&gt;</w:t>
      </w:r>
      <w:r>
        <w:rPr>
          <w:u w:color="000000"/>
        </w:rPr>
        <w:t xml:space="preserve"> is responsible for determining whether a piece of cryptographic software meets these criteria, and for maintaining a list of approved encryption software.</w:t>
      </w:r>
    </w:p>
    <w:p w14:paraId="2DF4EA54" w14:textId="77777777" w:rsidR="00D512A2" w:rsidRDefault="00D512A2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>Key Management</w:t>
      </w:r>
    </w:p>
    <w:p w14:paraId="27CE5848" w14:textId="4167D8BE" w:rsidR="00D512A2" w:rsidRDefault="00D512A2" w:rsidP="00905D50">
      <w:pPr>
        <w:ind w:left="360"/>
      </w:pPr>
      <w:r>
        <w:rPr>
          <w:u w:color="000000"/>
        </w:rPr>
        <w:t xml:space="preserve">All secret key material (keys, passphrases, etc.) used by employees and contractors must be stored securely and redundantly.  Employees and contractors must submit secret key information to the IT </w:t>
      </w:r>
      <w:r w:rsidR="002D3ED0">
        <w:rPr>
          <w:u w:color="000000"/>
        </w:rPr>
        <w:t>M</w:t>
      </w:r>
      <w:r>
        <w:rPr>
          <w:u w:color="000000"/>
        </w:rPr>
        <w:t>anager or their designee, for storage in an offline key repository.</w:t>
      </w:r>
    </w:p>
    <w:p w14:paraId="321D8BBD" w14:textId="77777777" w:rsidR="00D512A2" w:rsidRDefault="00D512A2" w:rsidP="00905D50">
      <w:pPr>
        <w:ind w:left="360"/>
      </w:pPr>
      <w:r>
        <w:t>Keys shall be stored offline, in a secure location, such as a safe.  The offline key repository must not be accessible from a network-connected computer.  Access to the repository must be limited to the minimum personnel necessary.</w:t>
      </w:r>
    </w:p>
    <w:p w14:paraId="32869360" w14:textId="77777777" w:rsidR="00D512A2" w:rsidRDefault="00D512A2" w:rsidP="00905D50">
      <w:pPr>
        <w:pStyle w:val="Heading1"/>
        <w:ind w:left="360" w:hanging="360"/>
      </w:pPr>
      <w:r>
        <w:t>Compliance</w:t>
      </w:r>
    </w:p>
    <w:p w14:paraId="6FD088D0" w14:textId="77777777" w:rsidR="00D512A2" w:rsidRDefault="00D512A2" w:rsidP="00905D50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2E1D8395" w14:textId="67A1AF1B" w:rsidR="00D512A2" w:rsidRDefault="00D512A2" w:rsidP="00905D50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3D4DB3E3" w14:textId="77777777" w:rsidR="00D512A2" w:rsidRDefault="00D512A2" w:rsidP="00905D50">
      <w:pPr>
        <w:pStyle w:val="Heading2"/>
        <w:ind w:left="1080" w:hanging="720"/>
      </w:pPr>
      <w:r w:rsidRPr="00EB634D">
        <w:t>Exceptions</w:t>
      </w:r>
    </w:p>
    <w:p w14:paraId="68FACD40" w14:textId="40C77C65" w:rsidR="00D512A2" w:rsidRDefault="00D512A2" w:rsidP="00905D50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78A0FC85" w14:textId="77777777" w:rsidR="00D512A2" w:rsidRDefault="00D512A2" w:rsidP="00905D50">
      <w:pPr>
        <w:pStyle w:val="Heading2"/>
        <w:ind w:left="1080" w:hanging="720"/>
      </w:pPr>
      <w:r>
        <w:t>Non-Compliance</w:t>
      </w:r>
    </w:p>
    <w:p w14:paraId="53046636" w14:textId="579940E3" w:rsidR="00D512A2" w:rsidRDefault="00D512A2" w:rsidP="00905D50">
      <w:pPr>
        <w:ind w:left="360"/>
      </w:pPr>
      <w:r w:rsidRPr="003711ED">
        <w:t xml:space="preserve">An employee found to have violated this policy may be subject to disciplinary action in accordance with </w:t>
      </w:r>
      <w:r w:rsidR="00465FD7" w:rsidRPr="008232AF">
        <w:rPr>
          <w:b/>
          <w:color w:val="FF0000"/>
        </w:rPr>
        <w:t>&lt;Utility Name&gt;</w:t>
      </w:r>
      <w:r w:rsidR="00465FD7">
        <w:t xml:space="preserve"> HR policies</w:t>
      </w:r>
      <w:r w:rsidRPr="003711ED">
        <w:t>.</w:t>
      </w:r>
    </w:p>
    <w:p w14:paraId="6AD21509" w14:textId="77777777" w:rsidR="00D512A2" w:rsidRDefault="00D512A2" w:rsidP="00905D50">
      <w:pPr>
        <w:pStyle w:val="Heading1"/>
        <w:ind w:left="360" w:hanging="360"/>
      </w:pPr>
      <w:r>
        <w:t>Related Standards, Policies, and Processes</w:t>
      </w:r>
    </w:p>
    <w:p w14:paraId="187DD7EF" w14:textId="0EF099B3" w:rsidR="00D512A2" w:rsidRDefault="00D512A2" w:rsidP="00D512A2">
      <w:pPr>
        <w:pStyle w:val="ListParagraph"/>
        <w:numPr>
          <w:ilvl w:val="0"/>
          <w:numId w:val="4"/>
        </w:numPr>
      </w:pPr>
      <w:r>
        <w:t xml:space="preserve">Adapted from “Cyber Security Policy Framework” </w:t>
      </w:r>
      <w:r>
        <w:br/>
      </w:r>
      <w:r w:rsidR="007E17F2">
        <w:t>(</w:t>
      </w:r>
      <w:hyperlink r:id="rId10" w:history="1">
        <w:r w:rsidR="0080653C" w:rsidRPr="00A66525">
          <w:rPr>
            <w:rStyle w:val="Hyperlink"/>
          </w:rPr>
          <w:t>https://www.nreca.coop/wp-content/uploads/2015/09/cyber_security_policy_framework.docx</w:t>
        </w:r>
      </w:hyperlink>
      <w:r w:rsidR="0080653C">
        <w:t xml:space="preserve">) </w:t>
      </w:r>
      <w:r>
        <w:rPr>
          <w:rStyle w:val="Hyperlink"/>
        </w:rPr>
        <w:br/>
      </w:r>
      <w:r>
        <w:t>Cyber Security Policy Framework was created by the Kentucky Association of Electric Cooperatives (KAEC) Information Technology (IT) Association - Cyber Security Subcommittee.</w:t>
      </w:r>
      <w:r>
        <w:br/>
      </w:r>
    </w:p>
    <w:p w14:paraId="2ED1A166" w14:textId="5CF64F74" w:rsidR="00D512A2" w:rsidRDefault="00D512A2" w:rsidP="00D512A2">
      <w:pPr>
        <w:pStyle w:val="ListParagraph"/>
        <w:numPr>
          <w:ilvl w:val="0"/>
          <w:numId w:val="4"/>
        </w:numPr>
      </w:pPr>
      <w:r>
        <w:t xml:space="preserve">NIST 800-111, </w:t>
      </w:r>
      <w:r w:rsidRPr="00254B42">
        <w:t>Guide to Storage Encryption Technologies for End User Devices</w:t>
      </w:r>
      <w:r>
        <w:t xml:space="preserve">  </w:t>
      </w:r>
      <w:r w:rsidR="007E17F2">
        <w:t>(</w:t>
      </w:r>
      <w:hyperlink r:id="rId11" w:history="1">
        <w:r w:rsidRPr="0080653C">
          <w:rPr>
            <w:rStyle w:val="Hyperlink"/>
          </w:rPr>
          <w:t>http://csrc.nist.gov/publications/nistpubs/800-111/SP800-111.pdf</w:t>
        </w:r>
      </w:hyperlink>
      <w:r w:rsidR="007E17F2">
        <w:t>)</w:t>
      </w:r>
      <w:r>
        <w:br/>
      </w:r>
    </w:p>
    <w:p w14:paraId="3B299B06" w14:textId="77777777" w:rsidR="00D512A2" w:rsidRPr="00331027" w:rsidRDefault="00D512A2" w:rsidP="00905D50">
      <w:pPr>
        <w:pStyle w:val="Heading1"/>
        <w:ind w:left="360" w:hanging="360"/>
      </w:pPr>
      <w:r w:rsidRPr="00331027">
        <w:t>Governance Responsibilities</w:t>
      </w:r>
    </w:p>
    <w:p w14:paraId="462D0E45" w14:textId="7F9867A1" w:rsidR="00D512A2" w:rsidRPr="00CE5F93" w:rsidRDefault="0090069F" w:rsidP="00BB6919">
      <w:r>
        <w:t>The ISP uses the RACI model for assigning responsibility.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2A2" w14:paraId="1281EB92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8945C8" w14:textId="77777777" w:rsidR="00D512A2" w:rsidRDefault="00D512A2" w:rsidP="00BB6919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337" w:type="dxa"/>
          </w:tcPr>
          <w:p w14:paraId="3246E5E5" w14:textId="77777777" w:rsidR="00D512A2" w:rsidRDefault="00D512A2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338" w:type="dxa"/>
          </w:tcPr>
          <w:p w14:paraId="64EE4CAB" w14:textId="77777777" w:rsidR="00D512A2" w:rsidRDefault="00D512A2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338" w:type="dxa"/>
          </w:tcPr>
          <w:p w14:paraId="25002B18" w14:textId="77777777" w:rsidR="00D512A2" w:rsidRDefault="00D512A2" w:rsidP="00BB6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D512A2" w14:paraId="7C645BEE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370E31" w14:textId="0305623D" w:rsidR="00D512A2" w:rsidRDefault="00D512A2" w:rsidP="00BB6919">
            <w:pPr>
              <w:jc w:val="center"/>
            </w:pPr>
            <w:r>
              <w:br/>
            </w:r>
            <w:r w:rsidR="009A3317">
              <w:t>IT Manager</w:t>
            </w:r>
            <w:r>
              <w:br/>
            </w:r>
          </w:p>
        </w:tc>
        <w:tc>
          <w:tcPr>
            <w:tcW w:w="2337" w:type="dxa"/>
          </w:tcPr>
          <w:p w14:paraId="64283295" w14:textId="77777777" w:rsidR="00D512A2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97496" w14:textId="77777777" w:rsidR="00D512A2" w:rsidRPr="00764189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338" w:type="dxa"/>
          </w:tcPr>
          <w:p w14:paraId="526AA55D" w14:textId="77777777" w:rsidR="00D512A2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56B8D3" w14:textId="77777777" w:rsidR="00D512A2" w:rsidRPr="00764189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2338" w:type="dxa"/>
          </w:tcPr>
          <w:p w14:paraId="79FD60E6" w14:textId="77777777" w:rsidR="00D512A2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7B4720" w14:textId="77777777" w:rsidR="00D512A2" w:rsidRPr="00764189" w:rsidRDefault="00D512A2" w:rsidP="00BB6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3127BA57" w14:textId="1AC91C3B" w:rsidR="00D512A2" w:rsidRPr="005B13D6" w:rsidRDefault="00D512A2" w:rsidP="00BB6919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5C245F44" w14:textId="77777777" w:rsidR="00D512A2" w:rsidRDefault="00D512A2" w:rsidP="00905D50">
      <w:pPr>
        <w:pStyle w:val="Heading1"/>
        <w:ind w:left="360" w:hanging="360"/>
      </w:pPr>
      <w:r>
        <w:t>Approval</w:t>
      </w:r>
    </w:p>
    <w:p w14:paraId="7A678E5D" w14:textId="77777777" w:rsidR="00D512A2" w:rsidRDefault="00D512A2" w:rsidP="00BB6919">
      <w:pPr>
        <w:tabs>
          <w:tab w:val="left" w:pos="3495"/>
        </w:tabs>
        <w:spacing w:after="0" w:line="240" w:lineRule="auto"/>
      </w:pPr>
      <w:r>
        <w:tab/>
      </w:r>
    </w:p>
    <w:p w14:paraId="71CD7DBE" w14:textId="77777777" w:rsidR="00D512A2" w:rsidRDefault="00D512A2" w:rsidP="00BB6919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5DDAE1" w14:textId="77777777" w:rsidR="00D512A2" w:rsidRDefault="00D512A2" w:rsidP="00BB6919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72A2E97D" w14:textId="77777777" w:rsidR="00D512A2" w:rsidRDefault="00D512A2" w:rsidP="00BB6919">
      <w:pPr>
        <w:spacing w:after="0" w:line="240" w:lineRule="auto"/>
      </w:pPr>
    </w:p>
    <w:p w14:paraId="6EE45512" w14:textId="77777777" w:rsidR="00D512A2" w:rsidRDefault="00D512A2" w:rsidP="00905D50">
      <w:pPr>
        <w:pStyle w:val="Heading1"/>
        <w:ind w:left="360" w:hanging="360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D512A2" w14:paraId="1A978525" w14:textId="77777777" w:rsidTr="00BB6919">
        <w:tc>
          <w:tcPr>
            <w:tcW w:w="1975" w:type="dxa"/>
          </w:tcPr>
          <w:p w14:paraId="48A08CB3" w14:textId="77777777" w:rsidR="00D512A2" w:rsidRDefault="00D512A2" w:rsidP="00BB6919">
            <w:r>
              <w:t>Date of Change(s)</w:t>
            </w:r>
          </w:p>
        </w:tc>
        <w:tc>
          <w:tcPr>
            <w:tcW w:w="1980" w:type="dxa"/>
          </w:tcPr>
          <w:p w14:paraId="52427DED" w14:textId="77777777" w:rsidR="00D512A2" w:rsidRDefault="00D512A2" w:rsidP="00BB6919">
            <w:r>
              <w:t>Revised by</w:t>
            </w:r>
          </w:p>
        </w:tc>
        <w:tc>
          <w:tcPr>
            <w:tcW w:w="5395" w:type="dxa"/>
          </w:tcPr>
          <w:p w14:paraId="5BE5D133" w14:textId="77777777" w:rsidR="00D512A2" w:rsidRDefault="00D512A2" w:rsidP="00BB6919">
            <w:r>
              <w:t>Summary of Change(s)</w:t>
            </w:r>
          </w:p>
        </w:tc>
      </w:tr>
      <w:tr w:rsidR="00D512A2" w14:paraId="15072F61" w14:textId="77777777" w:rsidTr="00BB6919">
        <w:tc>
          <w:tcPr>
            <w:tcW w:w="1975" w:type="dxa"/>
          </w:tcPr>
          <w:p w14:paraId="41DB9A55" w14:textId="77777777" w:rsidR="00D512A2" w:rsidRDefault="00D512A2" w:rsidP="00BB6919"/>
        </w:tc>
        <w:tc>
          <w:tcPr>
            <w:tcW w:w="1980" w:type="dxa"/>
          </w:tcPr>
          <w:p w14:paraId="20BC8A12" w14:textId="77777777" w:rsidR="00D512A2" w:rsidRDefault="00D512A2" w:rsidP="00BB6919"/>
        </w:tc>
        <w:tc>
          <w:tcPr>
            <w:tcW w:w="5395" w:type="dxa"/>
          </w:tcPr>
          <w:p w14:paraId="7C098A2F" w14:textId="77777777" w:rsidR="00D512A2" w:rsidRDefault="00D512A2" w:rsidP="00BB6919"/>
        </w:tc>
      </w:tr>
      <w:tr w:rsidR="00D512A2" w14:paraId="5FABB532" w14:textId="77777777" w:rsidTr="00BB6919">
        <w:tc>
          <w:tcPr>
            <w:tcW w:w="1975" w:type="dxa"/>
          </w:tcPr>
          <w:p w14:paraId="4FB14AEB" w14:textId="77777777" w:rsidR="00D512A2" w:rsidRDefault="00D512A2" w:rsidP="00BB6919"/>
        </w:tc>
        <w:tc>
          <w:tcPr>
            <w:tcW w:w="1980" w:type="dxa"/>
          </w:tcPr>
          <w:p w14:paraId="5F93F96D" w14:textId="77777777" w:rsidR="00D512A2" w:rsidRDefault="00D512A2" w:rsidP="00BB6919"/>
        </w:tc>
        <w:tc>
          <w:tcPr>
            <w:tcW w:w="5395" w:type="dxa"/>
          </w:tcPr>
          <w:p w14:paraId="4AD4C58E" w14:textId="77777777" w:rsidR="00D512A2" w:rsidRDefault="00D512A2" w:rsidP="00BB6919"/>
        </w:tc>
      </w:tr>
      <w:tr w:rsidR="00D512A2" w14:paraId="01A9F558" w14:textId="77777777" w:rsidTr="00BB6919">
        <w:tc>
          <w:tcPr>
            <w:tcW w:w="1975" w:type="dxa"/>
          </w:tcPr>
          <w:p w14:paraId="59532C7C" w14:textId="77777777" w:rsidR="00D512A2" w:rsidRDefault="00D512A2" w:rsidP="00BB6919"/>
        </w:tc>
        <w:tc>
          <w:tcPr>
            <w:tcW w:w="1980" w:type="dxa"/>
          </w:tcPr>
          <w:p w14:paraId="66DE6B69" w14:textId="77777777" w:rsidR="00D512A2" w:rsidRDefault="00D512A2" w:rsidP="00BB6919"/>
        </w:tc>
        <w:tc>
          <w:tcPr>
            <w:tcW w:w="5395" w:type="dxa"/>
          </w:tcPr>
          <w:p w14:paraId="7DCB773A" w14:textId="77777777" w:rsidR="00D512A2" w:rsidRDefault="00D512A2" w:rsidP="00BB6919"/>
        </w:tc>
      </w:tr>
      <w:tr w:rsidR="00D512A2" w14:paraId="399ED594" w14:textId="77777777" w:rsidTr="00BB6919">
        <w:tc>
          <w:tcPr>
            <w:tcW w:w="1975" w:type="dxa"/>
          </w:tcPr>
          <w:p w14:paraId="7035DB73" w14:textId="77777777" w:rsidR="00D512A2" w:rsidRDefault="00D512A2" w:rsidP="00BB6919"/>
        </w:tc>
        <w:tc>
          <w:tcPr>
            <w:tcW w:w="1980" w:type="dxa"/>
          </w:tcPr>
          <w:p w14:paraId="5D30CA9B" w14:textId="77777777" w:rsidR="00D512A2" w:rsidRDefault="00D512A2" w:rsidP="00BB6919"/>
        </w:tc>
        <w:tc>
          <w:tcPr>
            <w:tcW w:w="5395" w:type="dxa"/>
          </w:tcPr>
          <w:p w14:paraId="33D97D0B" w14:textId="77777777" w:rsidR="00D512A2" w:rsidRDefault="00D512A2" w:rsidP="00BB6919"/>
        </w:tc>
      </w:tr>
    </w:tbl>
    <w:p w14:paraId="1D746CA7" w14:textId="77777777" w:rsidR="00D512A2" w:rsidRDefault="00D512A2" w:rsidP="00BB6919"/>
    <w:p w14:paraId="06BD5D6B" w14:textId="13CFD586" w:rsidR="002C2222" w:rsidRDefault="002C2222" w:rsidP="00787DE8">
      <w:pPr>
        <w:rPr>
          <w:b/>
        </w:rPr>
      </w:pPr>
      <w:bookmarkStart w:id="2" w:name="_GoBack"/>
      <w:bookmarkEnd w:id="2"/>
    </w:p>
    <w:p w14:paraId="350B6A85" w14:textId="77777777" w:rsidR="002C2222" w:rsidRDefault="002C2222">
      <w:pPr>
        <w:rPr>
          <w:b/>
        </w:rPr>
      </w:pPr>
      <w:r>
        <w:rPr>
          <w:b/>
        </w:rPr>
        <w:br w:type="page"/>
      </w:r>
    </w:p>
    <w:sectPr w:rsidR="002C2222" w:rsidSect="003A2211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5F762DB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09529D6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506B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47633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A30"/>
    <w:rsid w:val="00354C89"/>
    <w:rsid w:val="0037120D"/>
    <w:rsid w:val="00372D26"/>
    <w:rsid w:val="00375B19"/>
    <w:rsid w:val="00377F30"/>
    <w:rsid w:val="00394076"/>
    <w:rsid w:val="0039733E"/>
    <w:rsid w:val="003A113E"/>
    <w:rsid w:val="003A2211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3F32"/>
    <w:rsid w:val="00557F06"/>
    <w:rsid w:val="00560B22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5449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56C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2B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378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46A78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CF329F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37C5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87E8F"/>
    <w:rsid w:val="00E92F6F"/>
    <w:rsid w:val="00EB1A3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3BA2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rc.nist.gov/publications/nistpubs/800-111/SP800-111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nreca.coop/wp-content/uploads/2015/09/cyber_security_policy_framework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38681-2C7D-452F-937D-6BAC6E84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3</cp:revision>
  <dcterms:created xsi:type="dcterms:W3CDTF">2016-06-10T16:01:00Z</dcterms:created>
  <dcterms:modified xsi:type="dcterms:W3CDTF">2016-06-10T16:30:00Z</dcterms:modified>
</cp:coreProperties>
</file>