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52E2A" w14:textId="77777777" w:rsidR="004D2AF7" w:rsidRDefault="004D2AF7" w:rsidP="004D2AF7">
      <w:bookmarkStart w:id="0" w:name="_Toc412623238"/>
      <w:bookmarkStart w:id="1" w:name="_Toc413243462"/>
      <w:bookmarkStart w:id="2" w:name="_Toc452019011"/>
      <w:bookmarkStart w:id="3" w:name="_Toc453241952"/>
      <w:r>
        <w:rPr>
          <w:noProof/>
        </w:rPr>
        <w:drawing>
          <wp:inline distT="0" distB="0" distL="0" distR="0" wp14:anchorId="04F8B45D" wp14:editId="542C029D">
            <wp:extent cx="532852" cy="669627"/>
            <wp:effectExtent l="38100" t="38100" r="76835" b="7366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7"/>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6D7EA809" w14:textId="5B0BBE1C" w:rsidR="00420B9A" w:rsidRDefault="00420B9A" w:rsidP="00D752CA">
      <w:pPr>
        <w:pStyle w:val="Title"/>
        <w:jc w:val="center"/>
      </w:pPr>
      <w:bookmarkStart w:id="4" w:name="_GoBack"/>
      <w:bookmarkEnd w:id="4"/>
      <w:r w:rsidRPr="00F56800">
        <w:t>Information</w:t>
      </w:r>
      <w:r>
        <w:t xml:space="preserve"> </w:t>
      </w:r>
      <w:r w:rsidRPr="00D752CA">
        <w:t>Security</w:t>
      </w:r>
      <w:r>
        <w:t xml:space="preserve"> Policy</w:t>
      </w:r>
      <w:bookmarkEnd w:id="0"/>
      <w:bookmarkEnd w:id="1"/>
      <w:bookmarkEnd w:id="2"/>
      <w:bookmarkEnd w:id="3"/>
    </w:p>
    <w:p w14:paraId="2F0140E1" w14:textId="77777777" w:rsidR="00420B9A" w:rsidRDefault="00420B9A" w:rsidP="0031117A">
      <w:pPr>
        <w:pStyle w:val="Heading1"/>
      </w:pPr>
      <w:r w:rsidRPr="002D5A75">
        <w:t>Purpose</w:t>
      </w:r>
    </w:p>
    <w:p w14:paraId="5E22C8E2" w14:textId="4A36055D" w:rsidR="00420B9A" w:rsidRDefault="00420B9A" w:rsidP="003B3F44">
      <w:r w:rsidRPr="004523D8">
        <w:rPr>
          <w:b/>
          <w:color w:val="FF0000"/>
        </w:rPr>
        <w:t>&lt;</w:t>
      </w:r>
      <w:r w:rsidR="0019142C">
        <w:rPr>
          <w:b/>
          <w:color w:val="FF0000"/>
        </w:rPr>
        <w:t>Utility Name</w:t>
      </w:r>
      <w:r w:rsidRPr="004523D8">
        <w:rPr>
          <w:b/>
          <w:color w:val="FF0000"/>
        </w:rPr>
        <w:t>&gt;</w:t>
      </w:r>
      <w:r w:rsidR="002F5E00" w:rsidRPr="00B66DAE">
        <w:t>’s</w:t>
      </w:r>
      <w:r>
        <w:t xml:space="preserve"> Board of Directors recognize the need to protect </w:t>
      </w:r>
      <w:r w:rsidR="00AA7C33" w:rsidRPr="00B66DAE">
        <w:t>the utility</w:t>
      </w:r>
      <w:r>
        <w:t xml:space="preserve">, our </w:t>
      </w:r>
      <w:r w:rsidR="00AA7C33">
        <w:t>c</w:t>
      </w:r>
      <w:r w:rsidR="00BB4EA2">
        <w:t>onsumers</w:t>
      </w:r>
      <w:r>
        <w:t xml:space="preserve">, and both </w:t>
      </w:r>
      <w:r w:rsidR="00AA7C33">
        <w:t>u</w:t>
      </w:r>
      <w:r w:rsidR="0019142C">
        <w:t>tility</w:t>
      </w:r>
      <w:r>
        <w:t xml:space="preserve"> and </w:t>
      </w:r>
      <w:r w:rsidR="00AA7C33">
        <w:t>c</w:t>
      </w:r>
      <w:r w:rsidR="0019142C">
        <w:t>onsumer</w:t>
      </w:r>
      <w:r>
        <w:t xml:space="preserve"> data, and the </w:t>
      </w:r>
      <w:r w:rsidR="004A629D">
        <w:t>u</w:t>
      </w:r>
      <w:r w:rsidR="0019142C">
        <w:t>tility</w:t>
      </w:r>
      <w:r>
        <w:t xml:space="preserve">’s information systems, from growing information and cybersecurity threats.  This policy establishes an Information Security Program (ISP) within </w:t>
      </w:r>
      <w:r w:rsidRPr="004523D8">
        <w:rPr>
          <w:b/>
          <w:color w:val="FF0000"/>
        </w:rPr>
        <w:t>&lt;</w:t>
      </w:r>
      <w:r w:rsidR="0019142C" w:rsidRPr="004A629D">
        <w:rPr>
          <w:b/>
          <w:color w:val="FF0000"/>
        </w:rPr>
        <w:t>Utility Name</w:t>
      </w:r>
      <w:r w:rsidRPr="004523D8">
        <w:rPr>
          <w:b/>
          <w:color w:val="FF0000"/>
        </w:rPr>
        <w:t xml:space="preserve">&gt; </w:t>
      </w:r>
      <w:r>
        <w:t xml:space="preserve">to ensure that adequate measures are taken and controls are in place to mitigate threats and protect company resources. </w:t>
      </w:r>
    </w:p>
    <w:p w14:paraId="77817B70" w14:textId="78F5A3B4" w:rsidR="00420B9A" w:rsidRPr="007871C0" w:rsidRDefault="00420B9A" w:rsidP="002B6280">
      <w:pPr>
        <w:ind w:left="360"/>
        <w:rPr>
          <w:i/>
          <w:color w:val="0070C0"/>
        </w:rPr>
      </w:pPr>
      <w:r w:rsidRPr="007871C0">
        <w:rPr>
          <w:i/>
          <w:color w:val="0070C0"/>
        </w:rPr>
        <w:t xml:space="preserve">[Explanatory Note: This policy draft is intended for </w:t>
      </w:r>
      <w:r>
        <w:rPr>
          <w:i/>
          <w:color w:val="0070C0"/>
        </w:rPr>
        <w:t xml:space="preserve">the </w:t>
      </w:r>
      <w:r w:rsidRPr="007871C0">
        <w:rPr>
          <w:i/>
          <w:color w:val="0070C0"/>
        </w:rPr>
        <w:t xml:space="preserve">establishment of an overall Information Security Program at the Board level with </w:t>
      </w:r>
      <w:r>
        <w:rPr>
          <w:i/>
          <w:color w:val="0070C0"/>
        </w:rPr>
        <w:t>p</w:t>
      </w:r>
      <w:r w:rsidRPr="007871C0">
        <w:rPr>
          <w:i/>
          <w:color w:val="0070C0"/>
        </w:rPr>
        <w:t>olic</w:t>
      </w:r>
      <w:r>
        <w:rPr>
          <w:i/>
          <w:color w:val="0070C0"/>
        </w:rPr>
        <w:t>ies</w:t>
      </w:r>
      <w:r w:rsidRPr="007871C0">
        <w:rPr>
          <w:i/>
          <w:color w:val="0070C0"/>
        </w:rPr>
        <w:t xml:space="preserve"> and </w:t>
      </w:r>
      <w:r>
        <w:rPr>
          <w:i/>
          <w:color w:val="0070C0"/>
        </w:rPr>
        <w:t>p</w:t>
      </w:r>
      <w:r w:rsidRPr="007871C0">
        <w:rPr>
          <w:i/>
          <w:color w:val="0070C0"/>
        </w:rPr>
        <w:t>rocedure</w:t>
      </w:r>
      <w:r>
        <w:rPr>
          <w:i/>
          <w:color w:val="0070C0"/>
        </w:rPr>
        <w:t>s</w:t>
      </w:r>
      <w:r w:rsidRPr="007871C0">
        <w:rPr>
          <w:i/>
          <w:color w:val="0070C0"/>
        </w:rPr>
        <w:t xml:space="preserve"> </w:t>
      </w:r>
      <w:r>
        <w:rPr>
          <w:i/>
          <w:color w:val="0070C0"/>
        </w:rPr>
        <w:t>which the staff can implement.  It should be noted that i</w:t>
      </w:r>
      <w:r w:rsidRPr="007871C0">
        <w:rPr>
          <w:i/>
          <w:color w:val="0070C0"/>
        </w:rPr>
        <w:t xml:space="preserve">nformation </w:t>
      </w:r>
      <w:r>
        <w:rPr>
          <w:i/>
          <w:color w:val="0070C0"/>
        </w:rPr>
        <w:t>s</w:t>
      </w:r>
      <w:r w:rsidRPr="007871C0">
        <w:rPr>
          <w:i/>
          <w:color w:val="0070C0"/>
        </w:rPr>
        <w:t>ecurity is not solely an Information Technology concern</w:t>
      </w:r>
      <w:r>
        <w:rPr>
          <w:i/>
          <w:color w:val="0070C0"/>
        </w:rPr>
        <w:t>,</w:t>
      </w:r>
      <w:r w:rsidRPr="007871C0">
        <w:rPr>
          <w:i/>
          <w:color w:val="0070C0"/>
        </w:rPr>
        <w:t xml:space="preserve"> but touches all departments, all employees, and all types of informational transactions.  This </w:t>
      </w:r>
      <w:r>
        <w:rPr>
          <w:i/>
          <w:color w:val="0070C0"/>
        </w:rPr>
        <w:t xml:space="preserve">plan </w:t>
      </w:r>
      <w:r w:rsidRPr="007871C0">
        <w:rPr>
          <w:i/>
          <w:color w:val="0070C0"/>
        </w:rPr>
        <w:t xml:space="preserve">may or may not </w:t>
      </w:r>
      <w:r>
        <w:rPr>
          <w:i/>
          <w:color w:val="0070C0"/>
        </w:rPr>
        <w:t>represent</w:t>
      </w:r>
      <w:r w:rsidRPr="007871C0">
        <w:rPr>
          <w:i/>
          <w:color w:val="0070C0"/>
        </w:rPr>
        <w:t xml:space="preserve"> the hierarchy </w:t>
      </w:r>
      <w:r>
        <w:rPr>
          <w:i/>
          <w:color w:val="0070C0"/>
        </w:rPr>
        <w:t>appropriate</w:t>
      </w:r>
      <w:r w:rsidRPr="007871C0">
        <w:rPr>
          <w:i/>
          <w:color w:val="0070C0"/>
        </w:rPr>
        <w:t xml:space="preserve"> at a particular </w:t>
      </w:r>
      <w:r w:rsidR="0019142C">
        <w:rPr>
          <w:i/>
          <w:color w:val="0070C0"/>
        </w:rPr>
        <w:t>Utility</w:t>
      </w:r>
      <w:r>
        <w:rPr>
          <w:i/>
          <w:color w:val="0070C0"/>
        </w:rPr>
        <w:t>,</w:t>
      </w:r>
      <w:r w:rsidRPr="007871C0">
        <w:rPr>
          <w:i/>
          <w:color w:val="0070C0"/>
        </w:rPr>
        <w:t xml:space="preserve"> and should be modified as needed.]</w:t>
      </w:r>
    </w:p>
    <w:p w14:paraId="3D6962C3" w14:textId="28ADED2B" w:rsidR="00420B9A" w:rsidRDefault="00420B9A" w:rsidP="003B3F44">
      <w:r>
        <w:t xml:space="preserve">The purpose of this policy is to ensure that technology assets are protected against all internal, external, deliberate, and accidental threats.  Information, in all its forms, written, spoken, recorded electronically or printed, will be protected from accidental or intentional unauthorized modification, or destruction throughout its lifecycle. Policies and procedures are established and shall be administered so as to protect </w:t>
      </w:r>
      <w:r w:rsidR="0019142C">
        <w:t>Utility</w:t>
      </w:r>
      <w:r>
        <w:t xml:space="preserve"> technology systems and data, member financial and protected information, and </w:t>
      </w:r>
      <w:r w:rsidR="0019142C">
        <w:t>Utility</w:t>
      </w:r>
      <w:r>
        <w:t xml:space="preserve"> data acquisition and control systems across the enterprise.</w:t>
      </w:r>
    </w:p>
    <w:p w14:paraId="0EFE9C0C" w14:textId="1578A21F" w:rsidR="00420B9A" w:rsidRPr="007871C0" w:rsidRDefault="00420B9A" w:rsidP="002B6280">
      <w:pPr>
        <w:ind w:left="360"/>
        <w:rPr>
          <w:i/>
        </w:rPr>
      </w:pPr>
      <w:r w:rsidRPr="007871C0">
        <w:rPr>
          <w:i/>
          <w:color w:val="0070C0"/>
        </w:rPr>
        <w:t xml:space="preserve">[Explanatory Note: This policy draft is intended for establishment of an overall Information Security Program and </w:t>
      </w:r>
      <w:r>
        <w:rPr>
          <w:i/>
          <w:color w:val="0070C0"/>
        </w:rPr>
        <w:t xml:space="preserve">is </w:t>
      </w:r>
      <w:r w:rsidRPr="007871C0">
        <w:rPr>
          <w:i/>
          <w:color w:val="0070C0"/>
        </w:rPr>
        <w:t>no</w:t>
      </w:r>
      <w:r>
        <w:rPr>
          <w:i/>
          <w:color w:val="0070C0"/>
        </w:rPr>
        <w:t xml:space="preserve">t just a </w:t>
      </w:r>
      <w:r w:rsidR="00E17369">
        <w:rPr>
          <w:i/>
          <w:color w:val="0070C0"/>
        </w:rPr>
        <w:t>Cybersecurity</w:t>
      </w:r>
      <w:r>
        <w:rPr>
          <w:i/>
          <w:color w:val="0070C0"/>
        </w:rPr>
        <w:t xml:space="preserve"> program.</w:t>
      </w:r>
      <w:r w:rsidRPr="007871C0">
        <w:rPr>
          <w:i/>
          <w:color w:val="0070C0"/>
        </w:rPr>
        <w:t>]</w:t>
      </w:r>
    </w:p>
    <w:p w14:paraId="58B53D98" w14:textId="77777777" w:rsidR="00420B9A" w:rsidRPr="002D5A75" w:rsidRDefault="00420B9A" w:rsidP="0031117A">
      <w:pPr>
        <w:pStyle w:val="Heading1"/>
      </w:pPr>
      <w:r w:rsidRPr="002D5A75">
        <w:t>Scope</w:t>
      </w:r>
    </w:p>
    <w:p w14:paraId="3C08C3C4" w14:textId="340AA266" w:rsidR="00420B9A" w:rsidRDefault="00420B9A" w:rsidP="003B3F44">
      <w:r w:rsidRPr="00DC74B0">
        <w:t>All employees, contractors, consultants, temporary</w:t>
      </w:r>
      <w:r>
        <w:t>,</w:t>
      </w:r>
      <w:r w:rsidRPr="00DC74B0">
        <w:t xml:space="preserve"> and other workers at </w:t>
      </w:r>
      <w:r w:rsidRPr="004523D8">
        <w:rPr>
          <w:b/>
          <w:color w:val="FF0000"/>
        </w:rPr>
        <w:t>&lt;</w:t>
      </w:r>
      <w:r w:rsidR="0019142C" w:rsidRPr="00897577">
        <w:rPr>
          <w:b/>
          <w:color w:val="FF0000"/>
        </w:rPr>
        <w:t>Utility Name</w:t>
      </w:r>
      <w:r w:rsidRPr="004523D8">
        <w:rPr>
          <w:b/>
          <w:color w:val="FF0000"/>
        </w:rPr>
        <w:t>&gt;</w:t>
      </w:r>
      <w:r w:rsidRPr="00DC74B0">
        <w:t xml:space="preserve"> and its subsidiaries must adhere to all policies and procedures authorized and approved under this program. This applies to </w:t>
      </w:r>
      <w:r w:rsidR="0019142C">
        <w:t>Utility</w:t>
      </w:r>
      <w:r w:rsidRPr="00DC74B0">
        <w:t xml:space="preserve"> data sets and </w:t>
      </w:r>
      <w:r>
        <w:t>technology</w:t>
      </w:r>
      <w:r w:rsidRPr="00DC74B0">
        <w:t xml:space="preserve"> equipment that is owned, operated, or leased. The I</w:t>
      </w:r>
      <w:r w:rsidR="00B00B52">
        <w:t>SP</w:t>
      </w:r>
      <w:r w:rsidRPr="00DC74B0">
        <w:t xml:space="preserve"> </w:t>
      </w:r>
      <w:r>
        <w:t>p</w:t>
      </w:r>
      <w:r w:rsidRPr="00DC74B0">
        <w:t>olicies</w:t>
      </w:r>
      <w:r>
        <w:t xml:space="preserve"> and procedures</w:t>
      </w:r>
      <w:r w:rsidRPr="00DC74B0">
        <w:t xml:space="preserve"> describe the technology and information assets that must be protected</w:t>
      </w:r>
      <w:r>
        <w:t>,</w:t>
      </w:r>
      <w:r w:rsidRPr="00DC74B0">
        <w:t xml:space="preserve"> and identifies many of the threats to those assets.  The equipment, software, and storage medium used to process, store, and transmit information will be protected by appropriate controls.</w:t>
      </w:r>
    </w:p>
    <w:p w14:paraId="374AFDFC" w14:textId="77777777" w:rsidR="0075471D" w:rsidRDefault="00420B9A" w:rsidP="001A23C5">
      <w:pPr>
        <w:pStyle w:val="Heading1"/>
        <w:ind w:left="360" w:hanging="360"/>
      </w:pPr>
      <w:r w:rsidRPr="002D5A75">
        <w:lastRenderedPageBreak/>
        <w:t>Policy</w:t>
      </w:r>
    </w:p>
    <w:p w14:paraId="52FE86D6" w14:textId="77777777" w:rsidR="0075471D" w:rsidRDefault="00420B9A" w:rsidP="001A23C5">
      <w:pPr>
        <w:pStyle w:val="Heading2"/>
        <w:ind w:left="1080" w:hanging="720"/>
      </w:pPr>
      <w:r w:rsidRPr="00791D8F">
        <w:t>Policies</w:t>
      </w:r>
      <w:r>
        <w:t xml:space="preserve"> and procedure </w:t>
      </w:r>
      <w:r w:rsidRPr="003B3F44">
        <w:t>objectives</w:t>
      </w:r>
    </w:p>
    <w:p w14:paraId="098794DD" w14:textId="77777777" w:rsidR="0075471D" w:rsidRDefault="00420B9A" w:rsidP="001A23C5">
      <w:pPr>
        <w:ind w:left="360"/>
      </w:pPr>
      <w:r>
        <w:t>Policies and procedures have been established to ensure that:</w:t>
      </w:r>
    </w:p>
    <w:p w14:paraId="3166A2F3" w14:textId="77777777" w:rsidR="00420B9A" w:rsidRPr="006D2581" w:rsidRDefault="00420B9A" w:rsidP="00420B9A">
      <w:pPr>
        <w:pStyle w:val="ListParagraph"/>
        <w:numPr>
          <w:ilvl w:val="0"/>
          <w:numId w:val="3"/>
        </w:numPr>
        <w:rPr>
          <w:vanish/>
        </w:rPr>
      </w:pPr>
    </w:p>
    <w:p w14:paraId="498614C0" w14:textId="77777777" w:rsidR="00420B9A" w:rsidRPr="006D2581" w:rsidRDefault="00420B9A" w:rsidP="00420B9A">
      <w:pPr>
        <w:pStyle w:val="ListParagraph"/>
        <w:numPr>
          <w:ilvl w:val="0"/>
          <w:numId w:val="3"/>
        </w:numPr>
        <w:rPr>
          <w:vanish/>
        </w:rPr>
      </w:pPr>
    </w:p>
    <w:p w14:paraId="37D6E6BD" w14:textId="77777777" w:rsidR="00420B9A" w:rsidRPr="006D2581" w:rsidRDefault="00420B9A" w:rsidP="00420B9A">
      <w:pPr>
        <w:pStyle w:val="ListParagraph"/>
        <w:numPr>
          <w:ilvl w:val="0"/>
          <w:numId w:val="3"/>
        </w:numPr>
        <w:rPr>
          <w:vanish/>
        </w:rPr>
      </w:pPr>
    </w:p>
    <w:p w14:paraId="4A5EA418" w14:textId="77777777" w:rsidR="00420B9A" w:rsidRPr="006D2581" w:rsidRDefault="00420B9A" w:rsidP="00420B9A">
      <w:pPr>
        <w:pStyle w:val="ListParagraph"/>
        <w:numPr>
          <w:ilvl w:val="1"/>
          <w:numId w:val="3"/>
        </w:numPr>
        <w:rPr>
          <w:vanish/>
        </w:rPr>
      </w:pPr>
    </w:p>
    <w:p w14:paraId="2BCA18D8" w14:textId="7D4028B1" w:rsidR="00420B9A" w:rsidRPr="00F406E9" w:rsidRDefault="00420B9A" w:rsidP="00535BB7">
      <w:pPr>
        <w:pStyle w:val="ListParagraph"/>
        <w:numPr>
          <w:ilvl w:val="2"/>
          <w:numId w:val="3"/>
        </w:numPr>
        <w:ind w:left="1800" w:hanging="720"/>
      </w:pPr>
      <w:r w:rsidRPr="00F406E9">
        <w:t>Sensitive, protected, and/or privileged Information</w:t>
      </w:r>
      <w:r>
        <w:t xml:space="preserve"> and technology systems</w:t>
      </w:r>
      <w:r w:rsidRPr="00F406E9">
        <w:t xml:space="preserve"> will be safeguarded against any unauthorized access</w:t>
      </w:r>
      <w:r w:rsidR="00B00B52">
        <w:t>;</w:t>
      </w:r>
    </w:p>
    <w:p w14:paraId="0327CE12" w14:textId="216618D9" w:rsidR="00420B9A" w:rsidRPr="00F406E9" w:rsidRDefault="00420B9A" w:rsidP="00535BB7">
      <w:pPr>
        <w:pStyle w:val="ListParagraph"/>
        <w:numPr>
          <w:ilvl w:val="2"/>
          <w:numId w:val="3"/>
        </w:numPr>
        <w:ind w:left="1800" w:hanging="720"/>
      </w:pPr>
      <w:r w:rsidRPr="00F406E9">
        <w:t>Confidentiality of sensitive, protected, and/or privileged information will be assured</w:t>
      </w:r>
      <w:r w:rsidR="00B00B52">
        <w:t>;</w:t>
      </w:r>
    </w:p>
    <w:p w14:paraId="2919337A" w14:textId="64D401B0" w:rsidR="00420B9A" w:rsidRDefault="00420B9A" w:rsidP="00535BB7">
      <w:pPr>
        <w:pStyle w:val="ListParagraph"/>
        <w:numPr>
          <w:ilvl w:val="2"/>
          <w:numId w:val="3"/>
        </w:numPr>
        <w:ind w:left="1800" w:hanging="720"/>
      </w:pPr>
      <w:r w:rsidRPr="00F406E9">
        <w:t>Integrity of information will be maintained</w:t>
      </w:r>
      <w:r w:rsidR="00B00B52">
        <w:t>;</w:t>
      </w:r>
    </w:p>
    <w:p w14:paraId="46D885DF" w14:textId="3451BA5E" w:rsidR="00420B9A" w:rsidRPr="00F406E9" w:rsidRDefault="00420B9A" w:rsidP="00535BB7">
      <w:pPr>
        <w:pStyle w:val="ListParagraph"/>
        <w:numPr>
          <w:ilvl w:val="2"/>
          <w:numId w:val="3"/>
        </w:numPr>
        <w:ind w:left="1800" w:hanging="720"/>
      </w:pPr>
      <w:r w:rsidRPr="00F406E9">
        <w:t>Availability of information for business purposes will be maintained</w:t>
      </w:r>
      <w:r w:rsidR="00B00B52">
        <w:t>;</w:t>
      </w:r>
    </w:p>
    <w:p w14:paraId="7B948F7B" w14:textId="24545430" w:rsidR="00420B9A" w:rsidRPr="00F406E9" w:rsidRDefault="00420B9A" w:rsidP="00535BB7">
      <w:pPr>
        <w:pStyle w:val="ListParagraph"/>
        <w:numPr>
          <w:ilvl w:val="2"/>
          <w:numId w:val="3"/>
        </w:numPr>
        <w:ind w:left="1800" w:hanging="720"/>
      </w:pPr>
      <w:r w:rsidRPr="00F406E9">
        <w:t>Legislative and regulatory requirements will be met</w:t>
      </w:r>
      <w:r w:rsidR="00B00B52">
        <w:t>; and</w:t>
      </w:r>
    </w:p>
    <w:p w14:paraId="0D5148DD" w14:textId="522E75CD" w:rsidR="00420B9A" w:rsidRPr="00F406E9" w:rsidRDefault="00420B9A" w:rsidP="00535BB7">
      <w:pPr>
        <w:pStyle w:val="ListParagraph"/>
        <w:numPr>
          <w:ilvl w:val="2"/>
          <w:numId w:val="3"/>
        </w:numPr>
        <w:ind w:left="1800" w:hanging="720"/>
      </w:pPr>
      <w:r w:rsidRPr="00F406E9">
        <w:t>Business continuity and disaster recovery plans will be developed, maintained</w:t>
      </w:r>
      <w:r>
        <w:t>,</w:t>
      </w:r>
      <w:r w:rsidRPr="00F406E9">
        <w:t xml:space="preserve"> and tested annually</w:t>
      </w:r>
      <w:r w:rsidR="00B00B52">
        <w:t>.</w:t>
      </w:r>
    </w:p>
    <w:p w14:paraId="0264FE69" w14:textId="1704EF42" w:rsidR="00420B9A" w:rsidRPr="00F12499" w:rsidRDefault="00420B9A" w:rsidP="002B6280">
      <w:pPr>
        <w:ind w:left="1620"/>
        <w:rPr>
          <w:i/>
          <w:color w:val="0070C0"/>
        </w:rPr>
      </w:pPr>
      <w:r w:rsidRPr="00F12499">
        <w:rPr>
          <w:i/>
          <w:color w:val="0070C0"/>
        </w:rPr>
        <w:t xml:space="preserve">[Explanatory note: </w:t>
      </w:r>
      <w:r w:rsidR="0034623A">
        <w:rPr>
          <w:i/>
          <w:color w:val="0070C0"/>
        </w:rPr>
        <w:t>the utility</w:t>
      </w:r>
      <w:r w:rsidRPr="00F12499">
        <w:rPr>
          <w:i/>
          <w:color w:val="0070C0"/>
        </w:rPr>
        <w:t xml:space="preserve"> should </w:t>
      </w:r>
      <w:r>
        <w:rPr>
          <w:i/>
          <w:color w:val="0070C0"/>
        </w:rPr>
        <w:t>customize</w:t>
      </w:r>
      <w:r w:rsidRPr="00F12499">
        <w:rPr>
          <w:i/>
          <w:color w:val="0070C0"/>
        </w:rPr>
        <w:t xml:space="preserve"> this policy statement to include specific requirements within the </w:t>
      </w:r>
      <w:r w:rsidR="0019142C">
        <w:rPr>
          <w:i/>
          <w:color w:val="0070C0"/>
        </w:rPr>
        <w:t>Utility</w:t>
      </w:r>
      <w:r w:rsidRPr="00F12499">
        <w:rPr>
          <w:i/>
          <w:color w:val="0070C0"/>
        </w:rPr>
        <w:t xml:space="preserve"> and testing schedule</w:t>
      </w:r>
      <w:r>
        <w:rPr>
          <w:i/>
          <w:color w:val="0070C0"/>
        </w:rPr>
        <w:t>s</w:t>
      </w:r>
      <w:r w:rsidRPr="00F12499">
        <w:rPr>
          <w:i/>
          <w:color w:val="0070C0"/>
        </w:rPr>
        <w:t xml:space="preserve"> they deem appropriate.]</w:t>
      </w:r>
    </w:p>
    <w:p w14:paraId="7780B77E" w14:textId="03570F2C" w:rsidR="00420B9A" w:rsidRPr="00F406E9" w:rsidRDefault="00420B9A" w:rsidP="0067514E">
      <w:pPr>
        <w:pStyle w:val="ListParagraph"/>
        <w:numPr>
          <w:ilvl w:val="2"/>
          <w:numId w:val="3"/>
        </w:numPr>
        <w:ind w:left="1800" w:hanging="720"/>
      </w:pPr>
      <w:r w:rsidRPr="00F406E9">
        <w:t>All  employees</w:t>
      </w:r>
      <w:r>
        <w:t>, contractors, consultants, temporary and other workers</w:t>
      </w:r>
      <w:r w:rsidRPr="00F406E9">
        <w:t xml:space="preserve"> will be provided information security </w:t>
      </w:r>
      <w:r>
        <w:t xml:space="preserve">and awareness </w:t>
      </w:r>
      <w:r w:rsidRPr="00F406E9">
        <w:t>training on a regular basis</w:t>
      </w:r>
    </w:p>
    <w:p w14:paraId="200C4334" w14:textId="66A4B009" w:rsidR="00420B9A" w:rsidRPr="00F406E9" w:rsidRDefault="00420B9A" w:rsidP="0067514E">
      <w:pPr>
        <w:pStyle w:val="ListParagraph"/>
        <w:numPr>
          <w:ilvl w:val="2"/>
          <w:numId w:val="3"/>
        </w:numPr>
        <w:ind w:left="1800" w:hanging="720"/>
      </w:pPr>
      <w:r w:rsidRPr="00F406E9">
        <w:t>Any actual or suspected information security breaches will be reported to the designated &lt;</w:t>
      </w:r>
      <w:r w:rsidRPr="00F12499">
        <w:rPr>
          <w:b/>
          <w:color w:val="FF0000"/>
        </w:rPr>
        <w:t>person or group responsible for policy</w:t>
      </w:r>
      <w:r w:rsidRPr="00F406E9">
        <w:t>&gt;.  All breaches will be investigated thoroughly and logged</w:t>
      </w:r>
    </w:p>
    <w:p w14:paraId="117AF7FD" w14:textId="77777777" w:rsidR="00420B9A" w:rsidRDefault="00420B9A" w:rsidP="004A5C71">
      <w:pPr>
        <w:ind w:left="360"/>
      </w:pPr>
      <w:r>
        <w:t>The established policies and procedures include appropriate controls and continuity plans.  These policies and procedures also address the availability of information systems.</w:t>
      </w:r>
      <w:r>
        <w:br/>
      </w:r>
    </w:p>
    <w:p w14:paraId="35884D13" w14:textId="77777777" w:rsidR="00420B9A" w:rsidRPr="002D5A75" w:rsidRDefault="00420B9A" w:rsidP="005B24C6">
      <w:pPr>
        <w:pStyle w:val="Heading1"/>
        <w:ind w:left="360" w:hanging="360"/>
      </w:pPr>
      <w:r w:rsidRPr="002D5A75">
        <w:t>Compliance</w:t>
      </w:r>
    </w:p>
    <w:p w14:paraId="4901932A" w14:textId="77777777" w:rsidR="00420B9A" w:rsidRPr="00864BF9" w:rsidRDefault="00420B9A" w:rsidP="00420B9A">
      <w:pPr>
        <w:pStyle w:val="ListParagraph"/>
        <w:keepNext/>
        <w:keepLines/>
        <w:numPr>
          <w:ilvl w:val="0"/>
          <w:numId w:val="2"/>
        </w:numPr>
        <w:pBdr>
          <w:top w:val="nil"/>
          <w:left w:val="nil"/>
          <w:bottom w:val="nil"/>
          <w:right w:val="nil"/>
          <w:between w:val="nil"/>
          <w:bar w:val="nil"/>
        </w:pBdr>
        <w:spacing w:before="40" w:after="0"/>
        <w:contextualSpacing w:val="0"/>
        <w:outlineLvl w:val="1"/>
        <w:rPr>
          <w:rFonts w:asciiTheme="majorHAnsi" w:eastAsiaTheme="majorEastAsia" w:hAnsiTheme="majorHAnsi" w:cstheme="majorBidi"/>
          <w:vanish/>
          <w:color w:val="234F77" w:themeColor="accent1" w:themeShade="80"/>
          <w:sz w:val="26"/>
          <w:szCs w:val="26"/>
        </w:rPr>
      </w:pPr>
    </w:p>
    <w:p w14:paraId="5C77941D" w14:textId="77777777" w:rsidR="00420B9A" w:rsidRPr="00864BF9" w:rsidRDefault="00420B9A" w:rsidP="00420B9A">
      <w:pPr>
        <w:pStyle w:val="ListParagraph"/>
        <w:keepNext/>
        <w:keepLines/>
        <w:numPr>
          <w:ilvl w:val="0"/>
          <w:numId w:val="2"/>
        </w:numPr>
        <w:pBdr>
          <w:top w:val="nil"/>
          <w:left w:val="nil"/>
          <w:bottom w:val="nil"/>
          <w:right w:val="nil"/>
          <w:between w:val="nil"/>
          <w:bar w:val="nil"/>
        </w:pBdr>
        <w:spacing w:before="40" w:after="0"/>
        <w:contextualSpacing w:val="0"/>
        <w:outlineLvl w:val="1"/>
        <w:rPr>
          <w:rFonts w:asciiTheme="majorHAnsi" w:eastAsiaTheme="majorEastAsia" w:hAnsiTheme="majorHAnsi" w:cstheme="majorBidi"/>
          <w:vanish/>
          <w:color w:val="234F77" w:themeColor="accent1" w:themeShade="80"/>
          <w:sz w:val="26"/>
          <w:szCs w:val="26"/>
        </w:rPr>
      </w:pPr>
    </w:p>
    <w:p w14:paraId="7279FEEA" w14:textId="77777777" w:rsidR="00420B9A" w:rsidRPr="00864BF9" w:rsidRDefault="00420B9A" w:rsidP="00420B9A">
      <w:pPr>
        <w:pStyle w:val="ListParagraph"/>
        <w:keepNext/>
        <w:keepLines/>
        <w:numPr>
          <w:ilvl w:val="0"/>
          <w:numId w:val="2"/>
        </w:numPr>
        <w:pBdr>
          <w:top w:val="nil"/>
          <w:left w:val="nil"/>
          <w:bottom w:val="nil"/>
          <w:right w:val="nil"/>
          <w:between w:val="nil"/>
          <w:bar w:val="nil"/>
        </w:pBdr>
        <w:spacing w:before="40" w:after="0"/>
        <w:contextualSpacing w:val="0"/>
        <w:outlineLvl w:val="1"/>
        <w:rPr>
          <w:rFonts w:asciiTheme="majorHAnsi" w:eastAsiaTheme="majorEastAsia" w:hAnsiTheme="majorHAnsi" w:cstheme="majorBidi"/>
          <w:vanish/>
          <w:color w:val="234F77" w:themeColor="accent1" w:themeShade="80"/>
          <w:sz w:val="26"/>
          <w:szCs w:val="26"/>
        </w:rPr>
      </w:pPr>
    </w:p>
    <w:p w14:paraId="4D3543CE" w14:textId="77777777" w:rsidR="00420B9A" w:rsidRPr="00864BF9" w:rsidRDefault="00420B9A" w:rsidP="00420B9A">
      <w:pPr>
        <w:pStyle w:val="ListParagraph"/>
        <w:keepNext/>
        <w:keepLines/>
        <w:numPr>
          <w:ilvl w:val="0"/>
          <w:numId w:val="2"/>
        </w:numPr>
        <w:pBdr>
          <w:top w:val="nil"/>
          <w:left w:val="nil"/>
          <w:bottom w:val="nil"/>
          <w:right w:val="nil"/>
          <w:between w:val="nil"/>
          <w:bar w:val="nil"/>
        </w:pBdr>
        <w:spacing w:before="40" w:after="0"/>
        <w:contextualSpacing w:val="0"/>
        <w:outlineLvl w:val="1"/>
        <w:rPr>
          <w:rFonts w:asciiTheme="majorHAnsi" w:eastAsiaTheme="majorEastAsia" w:hAnsiTheme="majorHAnsi" w:cstheme="majorBidi"/>
          <w:vanish/>
          <w:color w:val="234F77" w:themeColor="accent1" w:themeShade="80"/>
          <w:sz w:val="26"/>
          <w:szCs w:val="26"/>
        </w:rPr>
      </w:pPr>
    </w:p>
    <w:p w14:paraId="0F7705CA" w14:textId="77777777" w:rsidR="00420B9A" w:rsidRPr="00345947" w:rsidRDefault="00420B9A" w:rsidP="005B24C6">
      <w:pPr>
        <w:pStyle w:val="Heading2"/>
        <w:ind w:left="900" w:hanging="540"/>
      </w:pPr>
      <w:r w:rsidRPr="00345947">
        <w:t>Compliance Measurement</w:t>
      </w:r>
    </w:p>
    <w:p w14:paraId="0CB38BE6" w14:textId="1911E48B" w:rsidR="003D52F4" w:rsidRDefault="003D52F4" w:rsidP="003D52F4">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17007371" w14:textId="77777777" w:rsidR="003D52F4" w:rsidRDefault="003D52F4" w:rsidP="005B24C6">
      <w:pPr>
        <w:ind w:left="360"/>
      </w:pPr>
    </w:p>
    <w:p w14:paraId="17A6FB24" w14:textId="77777777" w:rsidR="00420B9A" w:rsidRPr="00345947" w:rsidRDefault="00420B9A" w:rsidP="005B24C6">
      <w:pPr>
        <w:pStyle w:val="Heading2"/>
        <w:tabs>
          <w:tab w:val="left" w:pos="1080"/>
        </w:tabs>
        <w:ind w:left="900" w:hanging="540"/>
      </w:pPr>
      <w:r w:rsidRPr="00345947">
        <w:t>Exceptions</w:t>
      </w:r>
    </w:p>
    <w:p w14:paraId="7BFD5736" w14:textId="6A0969F7" w:rsidR="00420B9A" w:rsidRDefault="00420B9A" w:rsidP="005B24C6">
      <w:pPr>
        <w:ind w:left="360"/>
      </w:pPr>
      <w:r>
        <w:t xml:space="preserve">Any exception to the policy must be approved by the </w:t>
      </w:r>
      <w:r>
        <w:rPr>
          <w:color w:val="FF0000"/>
          <w:u w:color="FF0000"/>
        </w:rPr>
        <w:t>&lt;</w:t>
      </w:r>
      <w:r>
        <w:rPr>
          <w:b/>
          <w:bCs/>
          <w:color w:val="FF0000"/>
          <w:u w:color="FF0000"/>
        </w:rPr>
        <w:t>person or group responsible for policy</w:t>
      </w:r>
      <w:r>
        <w:rPr>
          <w:color w:val="FF0000"/>
          <w:u w:color="FF0000"/>
        </w:rPr>
        <w:t>&gt;</w:t>
      </w:r>
      <w:r>
        <w:t xml:space="preserve"> in advance.</w:t>
      </w:r>
    </w:p>
    <w:p w14:paraId="4107A93B" w14:textId="77777777" w:rsidR="00420B9A" w:rsidRPr="00345947" w:rsidRDefault="00420B9A" w:rsidP="005B24C6">
      <w:pPr>
        <w:pStyle w:val="Heading2"/>
        <w:ind w:left="900"/>
      </w:pPr>
      <w:r w:rsidRPr="00345947">
        <w:t>Non-Compliance</w:t>
      </w:r>
    </w:p>
    <w:p w14:paraId="5DF40497" w14:textId="61DD86AB" w:rsidR="00420B9A" w:rsidRDefault="00420B9A" w:rsidP="005B24C6">
      <w:pPr>
        <w:ind w:left="360"/>
      </w:pPr>
      <w:r>
        <w:t xml:space="preserve">An employee found to have violated this policy may be subject to disciplinary action in accordance with </w:t>
      </w:r>
      <w:r w:rsidR="005507F8" w:rsidRPr="004523D8">
        <w:rPr>
          <w:b/>
          <w:color w:val="FF0000"/>
        </w:rPr>
        <w:t>&lt;</w:t>
      </w:r>
      <w:r w:rsidR="005507F8" w:rsidRPr="00897577">
        <w:rPr>
          <w:b/>
          <w:color w:val="FF0000"/>
        </w:rPr>
        <w:t>Utility Name</w:t>
      </w:r>
      <w:r w:rsidR="005507F8" w:rsidRPr="004523D8">
        <w:rPr>
          <w:b/>
          <w:color w:val="FF0000"/>
        </w:rPr>
        <w:t>&gt;</w:t>
      </w:r>
      <w:r w:rsidR="00465FD7">
        <w:t xml:space="preserve"> HR policies</w:t>
      </w:r>
      <w:r>
        <w:t>.</w:t>
      </w:r>
    </w:p>
    <w:p w14:paraId="7560EB9F" w14:textId="77777777" w:rsidR="00420B9A" w:rsidRPr="002D5A75" w:rsidRDefault="00420B9A" w:rsidP="005B24C6">
      <w:pPr>
        <w:pStyle w:val="Heading1"/>
        <w:ind w:left="360" w:hanging="360"/>
      </w:pPr>
      <w:r w:rsidRPr="002D5A75">
        <w:lastRenderedPageBreak/>
        <w:t>Related Standards, Policies, and Processes</w:t>
      </w:r>
    </w:p>
    <w:p w14:paraId="223C19A4" w14:textId="251B2A0F" w:rsidR="00067F62" w:rsidRPr="00067F62" w:rsidRDefault="00420B9A" w:rsidP="005B24C6">
      <w:pPr>
        <w:pStyle w:val="ListParagraph"/>
        <w:numPr>
          <w:ilvl w:val="0"/>
          <w:numId w:val="4"/>
        </w:numPr>
        <w:rPr>
          <w:rStyle w:val="Hyperlink"/>
          <w:color w:val="auto"/>
          <w:u w:val="none"/>
        </w:rPr>
      </w:pPr>
      <w:r>
        <w:t>Adapted from “Cyber Security Policy Framework”</w:t>
      </w:r>
      <w:r>
        <w:br/>
      </w:r>
      <w:r w:rsidR="00AD42A5">
        <w:t>(</w:t>
      </w:r>
      <w:hyperlink r:id="rId10" w:history="1">
        <w:r w:rsidR="0039733E" w:rsidRPr="00A66525">
          <w:rPr>
            <w:rStyle w:val="Hyperlink"/>
          </w:rPr>
          <w:t>https://www.nreca.coop/wp-content/uploads/2015/09/cyber_security_policy_framework.docx</w:t>
        </w:r>
      </w:hyperlink>
      <w:r w:rsidR="0039733E">
        <w:t xml:space="preserve">) </w:t>
      </w:r>
    </w:p>
    <w:p w14:paraId="76B06B30" w14:textId="4CA4FCC1" w:rsidR="00420B9A" w:rsidRPr="00764189" w:rsidRDefault="00420B9A" w:rsidP="00B66DAE">
      <w:pPr>
        <w:ind w:left="360"/>
      </w:pPr>
      <w:r>
        <w:t>The Cyber Security Policy Framework was created by the Kentucky Association of Electric Cooperatives (KAEC) Information Technology (IT) Association - Cyber Security Subcommittee.</w:t>
      </w:r>
    </w:p>
    <w:p w14:paraId="690CFCA2" w14:textId="77777777" w:rsidR="00420B9A" w:rsidRPr="002D5A75" w:rsidRDefault="00420B9A" w:rsidP="005B24C6">
      <w:pPr>
        <w:pStyle w:val="Heading1"/>
        <w:ind w:left="360" w:hanging="360"/>
      </w:pPr>
      <w:r w:rsidRPr="002D5A75">
        <w:t>Governance Responsibilities</w:t>
      </w:r>
    </w:p>
    <w:p w14:paraId="47A72D60" w14:textId="7ECAC944" w:rsidR="00B00B52" w:rsidRDefault="00420B9A" w:rsidP="00021B04">
      <w:r>
        <w:t>The I</w:t>
      </w:r>
      <w:r w:rsidR="00B00B52">
        <w:t>SP</w:t>
      </w:r>
      <w:r>
        <w:t xml:space="preserve"> uses the RACI model for assigning responsibility. </w:t>
      </w:r>
      <w:r w:rsidR="00B00B52">
        <w:br/>
      </w:r>
      <w:r w:rsidR="00B00B52" w:rsidRPr="00A62145">
        <w:rPr>
          <w:i/>
          <w:color w:val="595959" w:themeColor="text1" w:themeTint="A6"/>
        </w:rPr>
        <w:t>[Explanatory Note:  The RACI model is a common project management tool.  See detailed description in ISP Implementation Guidelines.]</w:t>
      </w:r>
    </w:p>
    <w:tbl>
      <w:tblPr>
        <w:tblStyle w:val="GridTable4-Accent21"/>
        <w:tblW w:w="8810" w:type="dxa"/>
        <w:tblLook w:val="04A0" w:firstRow="1" w:lastRow="0" w:firstColumn="1" w:lastColumn="0" w:noHBand="0" w:noVBand="1"/>
      </w:tblPr>
      <w:tblGrid>
        <w:gridCol w:w="2202"/>
        <w:gridCol w:w="2202"/>
        <w:gridCol w:w="2203"/>
        <w:gridCol w:w="2203"/>
      </w:tblGrid>
      <w:tr w:rsidR="00420B9A" w14:paraId="022E7F07" w14:textId="77777777" w:rsidTr="00021B04">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02" w:type="dxa"/>
          </w:tcPr>
          <w:p w14:paraId="114B40D6" w14:textId="77777777" w:rsidR="00420B9A" w:rsidRDefault="00420B9A" w:rsidP="002B6280">
            <w:pPr>
              <w:jc w:val="center"/>
            </w:pPr>
            <w:r w:rsidRPr="0098428F">
              <w:rPr>
                <w:b w:val="0"/>
              </w:rPr>
              <w:t>Responsible</w:t>
            </w:r>
          </w:p>
        </w:tc>
        <w:tc>
          <w:tcPr>
            <w:tcW w:w="2202" w:type="dxa"/>
          </w:tcPr>
          <w:p w14:paraId="0F0308AB" w14:textId="77777777" w:rsidR="00420B9A" w:rsidRDefault="00420B9A"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203" w:type="dxa"/>
          </w:tcPr>
          <w:p w14:paraId="02704112" w14:textId="77777777" w:rsidR="00420B9A" w:rsidRDefault="00420B9A"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203" w:type="dxa"/>
          </w:tcPr>
          <w:p w14:paraId="277D04D1" w14:textId="77777777" w:rsidR="00420B9A" w:rsidRDefault="00420B9A"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420B9A" w14:paraId="2B28F4B6" w14:textId="77777777" w:rsidTr="00021B04">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202" w:type="dxa"/>
          </w:tcPr>
          <w:p w14:paraId="4CCBE365" w14:textId="77777777" w:rsidR="00420B9A" w:rsidRDefault="00420B9A" w:rsidP="002B6280">
            <w:pPr>
              <w:jc w:val="center"/>
            </w:pPr>
            <w:r>
              <w:br/>
              <w:t>CEO/GM</w:t>
            </w:r>
            <w:r>
              <w:br/>
            </w:r>
          </w:p>
        </w:tc>
        <w:tc>
          <w:tcPr>
            <w:tcW w:w="2202" w:type="dxa"/>
          </w:tcPr>
          <w:p w14:paraId="44DF67D8" w14:textId="77777777" w:rsidR="00420B9A" w:rsidRDefault="00420B9A" w:rsidP="002B6280">
            <w:pPr>
              <w:jc w:val="center"/>
              <w:cnfStyle w:val="000000100000" w:firstRow="0" w:lastRow="0" w:firstColumn="0" w:lastColumn="0" w:oddVBand="0" w:evenVBand="0" w:oddHBand="1" w:evenHBand="0" w:firstRowFirstColumn="0" w:firstRowLastColumn="0" w:lastRowFirstColumn="0" w:lastRowLastColumn="0"/>
            </w:pPr>
          </w:p>
          <w:p w14:paraId="499FA541" w14:textId="77777777" w:rsidR="00420B9A" w:rsidRPr="00764189" w:rsidRDefault="00420B9A" w:rsidP="002B6280">
            <w:pPr>
              <w:jc w:val="center"/>
              <w:cnfStyle w:val="000000100000" w:firstRow="0" w:lastRow="0" w:firstColumn="0" w:lastColumn="0" w:oddVBand="0" w:evenVBand="0" w:oddHBand="1" w:evenHBand="0" w:firstRowFirstColumn="0" w:firstRowLastColumn="0" w:lastRowFirstColumn="0" w:lastRowLastColumn="0"/>
              <w:rPr>
                <w:b/>
              </w:rPr>
            </w:pPr>
            <w:r w:rsidRPr="00764189">
              <w:rPr>
                <w:b/>
              </w:rPr>
              <w:t>BOD</w:t>
            </w:r>
          </w:p>
        </w:tc>
        <w:tc>
          <w:tcPr>
            <w:tcW w:w="2203" w:type="dxa"/>
          </w:tcPr>
          <w:p w14:paraId="0C939C03" w14:textId="77777777" w:rsidR="00420B9A" w:rsidRDefault="00420B9A" w:rsidP="002B6280">
            <w:pPr>
              <w:jc w:val="center"/>
              <w:cnfStyle w:val="000000100000" w:firstRow="0" w:lastRow="0" w:firstColumn="0" w:lastColumn="0" w:oddVBand="0" w:evenVBand="0" w:oddHBand="1" w:evenHBand="0" w:firstRowFirstColumn="0" w:firstRowLastColumn="0" w:lastRowFirstColumn="0" w:lastRowLastColumn="0"/>
            </w:pPr>
          </w:p>
          <w:p w14:paraId="15D4DA10" w14:textId="77777777" w:rsidR="00420B9A" w:rsidRPr="00764189" w:rsidRDefault="00420B9A" w:rsidP="002B6280">
            <w:pPr>
              <w:jc w:val="center"/>
              <w:cnfStyle w:val="000000100000" w:firstRow="0" w:lastRow="0" w:firstColumn="0" w:lastColumn="0" w:oddVBand="0" w:evenVBand="0" w:oddHBand="1" w:evenHBand="0" w:firstRowFirstColumn="0" w:firstRowLastColumn="0" w:lastRowFirstColumn="0" w:lastRowLastColumn="0"/>
              <w:rPr>
                <w:b/>
              </w:rPr>
            </w:pPr>
            <w:r w:rsidRPr="00764189">
              <w:rPr>
                <w:b/>
              </w:rPr>
              <w:t>Legal Department</w:t>
            </w:r>
          </w:p>
        </w:tc>
        <w:tc>
          <w:tcPr>
            <w:tcW w:w="2203" w:type="dxa"/>
          </w:tcPr>
          <w:p w14:paraId="21BE496B" w14:textId="77777777" w:rsidR="00420B9A" w:rsidRDefault="00420B9A" w:rsidP="002B6280">
            <w:pPr>
              <w:jc w:val="center"/>
              <w:cnfStyle w:val="000000100000" w:firstRow="0" w:lastRow="0" w:firstColumn="0" w:lastColumn="0" w:oddVBand="0" w:evenVBand="0" w:oddHBand="1" w:evenHBand="0" w:firstRowFirstColumn="0" w:firstRowLastColumn="0" w:lastRowFirstColumn="0" w:lastRowLastColumn="0"/>
            </w:pPr>
          </w:p>
          <w:p w14:paraId="1C134ACA" w14:textId="77777777" w:rsidR="00420B9A" w:rsidRPr="00764189" w:rsidRDefault="00420B9A" w:rsidP="002B6280">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5D40AEFA" w14:textId="2798F093" w:rsidR="00420B9A" w:rsidRPr="00F12499" w:rsidRDefault="00420B9A" w:rsidP="002B6280">
      <w:pPr>
        <w:jc w:val="center"/>
        <w:rPr>
          <w:i/>
          <w:color w:val="0070C0"/>
        </w:rPr>
      </w:pPr>
      <w:r w:rsidRPr="00F12499">
        <w:rPr>
          <w:i/>
          <w:color w:val="0070C0"/>
        </w:rPr>
        <w:t xml:space="preserve">[Explanatory Note:  </w:t>
      </w:r>
      <w:r w:rsidR="00465FD7">
        <w:rPr>
          <w:i/>
          <w:color w:val="0070C0"/>
        </w:rPr>
        <w:t>&lt;Utility Name&gt;</w:t>
      </w:r>
      <w:r w:rsidRPr="00F12499">
        <w:rPr>
          <w:i/>
          <w:color w:val="0070C0"/>
        </w:rPr>
        <w:t xml:space="preserve"> should </w:t>
      </w:r>
      <w:r>
        <w:rPr>
          <w:i/>
          <w:color w:val="0070C0"/>
        </w:rPr>
        <w:t>customize this</w:t>
      </w:r>
      <w:r w:rsidRPr="00F12499">
        <w:rPr>
          <w:i/>
          <w:color w:val="0070C0"/>
        </w:rPr>
        <w:t xml:space="preserve"> section to refl</w:t>
      </w:r>
      <w:r>
        <w:rPr>
          <w:i/>
          <w:color w:val="0070C0"/>
        </w:rPr>
        <w:t xml:space="preserve">ect the specific responsibility </w:t>
      </w:r>
      <w:r w:rsidRPr="00F12499">
        <w:rPr>
          <w:i/>
          <w:color w:val="0070C0"/>
        </w:rPr>
        <w:t xml:space="preserve">requirement determined by </w:t>
      </w:r>
      <w:r w:rsidR="00465FD7">
        <w:rPr>
          <w:i/>
          <w:color w:val="0070C0"/>
        </w:rPr>
        <w:t>&lt;Utility Name&gt; management</w:t>
      </w:r>
      <w:r w:rsidRPr="00F12499">
        <w:rPr>
          <w:i/>
          <w:color w:val="0070C0"/>
        </w:rPr>
        <w:t>.]</w:t>
      </w:r>
    </w:p>
    <w:p w14:paraId="158583E4" w14:textId="77777777" w:rsidR="00420B9A" w:rsidRPr="002D5A75" w:rsidRDefault="00420B9A" w:rsidP="0031117A">
      <w:pPr>
        <w:pStyle w:val="Heading1"/>
      </w:pPr>
      <w:r w:rsidRPr="001346DE">
        <w:t>Approvals</w:t>
      </w:r>
    </w:p>
    <w:p w14:paraId="3E2177DA" w14:textId="77777777" w:rsidR="00420B9A" w:rsidRDefault="00420B9A" w:rsidP="002B6280">
      <w:pPr>
        <w:spacing w:after="0" w:line="240" w:lineRule="auto"/>
      </w:pPr>
    </w:p>
    <w:p w14:paraId="24FFBE9D" w14:textId="77777777" w:rsidR="00420B9A" w:rsidRPr="007E3CB1" w:rsidRDefault="00420B9A" w:rsidP="002B6280">
      <w:pPr>
        <w:spacing w:after="0" w:line="240" w:lineRule="auto"/>
        <w:rPr>
          <w:u w:val="single"/>
        </w:rPr>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02404D67" w14:textId="77777777" w:rsidR="00420B9A" w:rsidRDefault="00420B9A" w:rsidP="002B6280">
      <w:pPr>
        <w:spacing w:after="0" w:line="240" w:lineRule="auto"/>
      </w:pPr>
      <w:r>
        <w:t>Board of Directors</w:t>
      </w:r>
      <w:r>
        <w:tab/>
      </w:r>
      <w:r>
        <w:tab/>
      </w:r>
      <w:r>
        <w:tab/>
      </w:r>
      <w:r>
        <w:tab/>
      </w:r>
      <w:r>
        <w:tab/>
      </w:r>
      <w:r>
        <w:tab/>
        <w:t>Date</w:t>
      </w:r>
    </w:p>
    <w:p w14:paraId="77E61D04" w14:textId="77777777" w:rsidR="00420B9A" w:rsidRDefault="00420B9A" w:rsidP="002B6280">
      <w:pPr>
        <w:spacing w:after="0" w:line="240" w:lineRule="auto"/>
      </w:pPr>
    </w:p>
    <w:p w14:paraId="51F40FED" w14:textId="77777777" w:rsidR="00420B9A" w:rsidRPr="002D5A75" w:rsidRDefault="00420B9A" w:rsidP="0031117A">
      <w:pPr>
        <w:pStyle w:val="Heading1"/>
      </w:pPr>
      <w:r>
        <w:t>Revision History</w:t>
      </w:r>
    </w:p>
    <w:p w14:paraId="1B13D00A" w14:textId="77777777" w:rsidR="00420B9A" w:rsidRDefault="00420B9A" w:rsidP="002B6280">
      <w:pPr>
        <w:spacing w:after="0" w:line="240" w:lineRule="auto"/>
        <w:rPr>
          <w:u w:val="single"/>
        </w:rPr>
      </w:pPr>
    </w:p>
    <w:tbl>
      <w:tblPr>
        <w:tblStyle w:val="TableGrid"/>
        <w:tblW w:w="8849" w:type="dxa"/>
        <w:tblInd w:w="558" w:type="dxa"/>
        <w:tblLook w:val="04A0" w:firstRow="1" w:lastRow="0" w:firstColumn="1" w:lastColumn="0" w:noHBand="0" w:noVBand="1"/>
      </w:tblPr>
      <w:tblGrid>
        <w:gridCol w:w="1869"/>
        <w:gridCol w:w="1874"/>
        <w:gridCol w:w="5106"/>
      </w:tblGrid>
      <w:tr w:rsidR="00420B9A" w14:paraId="7B085A34" w14:textId="77777777" w:rsidTr="002B6280">
        <w:trPr>
          <w:trHeight w:val="283"/>
        </w:trPr>
        <w:tc>
          <w:tcPr>
            <w:tcW w:w="1869" w:type="dxa"/>
          </w:tcPr>
          <w:p w14:paraId="6220DA69" w14:textId="77777777" w:rsidR="00420B9A" w:rsidRDefault="00420B9A" w:rsidP="002B6280">
            <w:r>
              <w:t>Date of Change(s)</w:t>
            </w:r>
          </w:p>
        </w:tc>
        <w:tc>
          <w:tcPr>
            <w:tcW w:w="1874" w:type="dxa"/>
          </w:tcPr>
          <w:p w14:paraId="2167D2A0" w14:textId="77777777" w:rsidR="00420B9A" w:rsidRDefault="00420B9A" w:rsidP="002B6280">
            <w:r>
              <w:t>Revised by</w:t>
            </w:r>
          </w:p>
        </w:tc>
        <w:tc>
          <w:tcPr>
            <w:tcW w:w="5106" w:type="dxa"/>
          </w:tcPr>
          <w:p w14:paraId="27080DDB" w14:textId="77777777" w:rsidR="00420B9A" w:rsidRDefault="00420B9A" w:rsidP="002B6280">
            <w:r>
              <w:t>Summary of Change(s)</w:t>
            </w:r>
          </w:p>
        </w:tc>
      </w:tr>
      <w:tr w:rsidR="00420B9A" w14:paraId="196DB9B9" w14:textId="77777777" w:rsidTr="002B6280">
        <w:trPr>
          <w:trHeight w:val="270"/>
        </w:trPr>
        <w:tc>
          <w:tcPr>
            <w:tcW w:w="1869" w:type="dxa"/>
          </w:tcPr>
          <w:p w14:paraId="0A798052" w14:textId="77777777" w:rsidR="00420B9A" w:rsidRDefault="00420B9A" w:rsidP="002B6280"/>
        </w:tc>
        <w:tc>
          <w:tcPr>
            <w:tcW w:w="1874" w:type="dxa"/>
          </w:tcPr>
          <w:p w14:paraId="723C6DFA" w14:textId="77777777" w:rsidR="00420B9A" w:rsidRDefault="00420B9A" w:rsidP="002B6280"/>
        </w:tc>
        <w:tc>
          <w:tcPr>
            <w:tcW w:w="5106" w:type="dxa"/>
          </w:tcPr>
          <w:p w14:paraId="135405C3" w14:textId="77777777" w:rsidR="00420B9A" w:rsidRDefault="00420B9A" w:rsidP="002B6280"/>
        </w:tc>
      </w:tr>
      <w:tr w:rsidR="00420B9A" w14:paraId="368F131E" w14:textId="77777777" w:rsidTr="002B6280">
        <w:trPr>
          <w:trHeight w:val="270"/>
        </w:trPr>
        <w:tc>
          <w:tcPr>
            <w:tcW w:w="1869" w:type="dxa"/>
          </w:tcPr>
          <w:p w14:paraId="217AA44F" w14:textId="77777777" w:rsidR="00420B9A" w:rsidRDefault="00420B9A" w:rsidP="002B6280"/>
        </w:tc>
        <w:tc>
          <w:tcPr>
            <w:tcW w:w="1874" w:type="dxa"/>
          </w:tcPr>
          <w:p w14:paraId="78FE23B7" w14:textId="77777777" w:rsidR="00420B9A" w:rsidRDefault="00420B9A" w:rsidP="002B6280"/>
        </w:tc>
        <w:tc>
          <w:tcPr>
            <w:tcW w:w="5106" w:type="dxa"/>
          </w:tcPr>
          <w:p w14:paraId="48AD2C73" w14:textId="77777777" w:rsidR="00420B9A" w:rsidRDefault="00420B9A" w:rsidP="002B6280"/>
        </w:tc>
      </w:tr>
      <w:tr w:rsidR="00420B9A" w14:paraId="12891613" w14:textId="77777777" w:rsidTr="002B6280">
        <w:trPr>
          <w:trHeight w:val="270"/>
        </w:trPr>
        <w:tc>
          <w:tcPr>
            <w:tcW w:w="1869" w:type="dxa"/>
          </w:tcPr>
          <w:p w14:paraId="29DD297C" w14:textId="77777777" w:rsidR="00420B9A" w:rsidRDefault="00420B9A" w:rsidP="002B6280"/>
        </w:tc>
        <w:tc>
          <w:tcPr>
            <w:tcW w:w="1874" w:type="dxa"/>
          </w:tcPr>
          <w:p w14:paraId="248D4DBE" w14:textId="77777777" w:rsidR="00420B9A" w:rsidRDefault="00420B9A" w:rsidP="002B6280"/>
        </w:tc>
        <w:tc>
          <w:tcPr>
            <w:tcW w:w="5106" w:type="dxa"/>
          </w:tcPr>
          <w:p w14:paraId="5BEC47BD" w14:textId="77777777" w:rsidR="00420B9A" w:rsidRDefault="00420B9A" w:rsidP="002B6280"/>
        </w:tc>
      </w:tr>
      <w:tr w:rsidR="00420B9A" w14:paraId="1E121CC0" w14:textId="77777777" w:rsidTr="002B6280">
        <w:trPr>
          <w:trHeight w:val="283"/>
        </w:trPr>
        <w:tc>
          <w:tcPr>
            <w:tcW w:w="1869" w:type="dxa"/>
          </w:tcPr>
          <w:p w14:paraId="30208668" w14:textId="77777777" w:rsidR="00420B9A" w:rsidRDefault="00420B9A" w:rsidP="002B6280"/>
        </w:tc>
        <w:tc>
          <w:tcPr>
            <w:tcW w:w="1874" w:type="dxa"/>
          </w:tcPr>
          <w:p w14:paraId="6AD123C3" w14:textId="77777777" w:rsidR="00420B9A" w:rsidRDefault="00420B9A" w:rsidP="002B6280"/>
        </w:tc>
        <w:tc>
          <w:tcPr>
            <w:tcW w:w="5106" w:type="dxa"/>
          </w:tcPr>
          <w:p w14:paraId="7455E3D3" w14:textId="77777777" w:rsidR="00420B9A" w:rsidRDefault="00420B9A" w:rsidP="002B6280"/>
        </w:tc>
      </w:tr>
    </w:tbl>
    <w:p w14:paraId="37E5B868" w14:textId="77777777" w:rsidR="00420B9A" w:rsidRDefault="00420B9A"/>
    <w:p w14:paraId="02E052A4" w14:textId="77777777" w:rsidR="00420B9A" w:rsidRDefault="00420B9A">
      <w:r>
        <w:br w:type="page"/>
      </w:r>
    </w:p>
    <w:sectPr w:rsidR="00420B9A" w:rsidSect="00E346A4">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0A7A1122"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346A4">
      <w:rPr>
        <w:rFonts w:eastAsiaTheme="minorEastAsia"/>
      </w:rPr>
      <w:t>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434CBC97"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346A4">
      <w:rPr>
        <w:rFonts w:eastAsiaTheme="minorEastAsia"/>
      </w:rPr>
      <w:t>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D2AF7"/>
    <w:rsid w:val="004E4F3B"/>
    <w:rsid w:val="004E5BF4"/>
    <w:rsid w:val="004E7E17"/>
    <w:rsid w:val="004F2392"/>
    <w:rsid w:val="004F2F24"/>
    <w:rsid w:val="004F462F"/>
    <w:rsid w:val="004F7667"/>
    <w:rsid w:val="005024E2"/>
    <w:rsid w:val="0050505D"/>
    <w:rsid w:val="00507634"/>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447B0"/>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4D08"/>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346A4"/>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2DF8"/>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5482F-3120-4B56-B749-975A316A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1</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2016-06-10T13:37:00Z</dcterms:created>
  <dcterms:modified xsi:type="dcterms:W3CDTF">2016-06-10T13:46:00Z</dcterms:modified>
</cp:coreProperties>
</file>