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EAABC" w14:textId="602E38D7" w:rsidR="00067F62" w:rsidRDefault="00067F62" w:rsidP="00067F62">
      <w:r>
        <w:rPr>
          <w:noProof/>
        </w:rPr>
        <w:drawing>
          <wp:inline distT="0" distB="0" distL="0" distR="0" wp14:anchorId="37D0210D" wp14:editId="08A14B04">
            <wp:extent cx="532852" cy="669627"/>
            <wp:effectExtent l="38100" t="38100" r="76835" b="7366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52" cy="6696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</w:t>
      </w:r>
    </w:p>
    <w:p w14:paraId="6948C1FD" w14:textId="77777777" w:rsidR="00067F62" w:rsidRDefault="00067F62" w:rsidP="00067F62">
      <w:pPr>
        <w:pStyle w:val="Title"/>
        <w:jc w:val="center"/>
      </w:pPr>
      <w:bookmarkStart w:id="0" w:name="_Toc452019047"/>
      <w:bookmarkStart w:id="1" w:name="_Toc453241988"/>
      <w:r w:rsidRPr="00067F62">
        <w:t>Compliance</w:t>
      </w:r>
      <w:r>
        <w:t xml:space="preserve"> Requirements Policy</w:t>
      </w:r>
      <w:bookmarkEnd w:id="0"/>
      <w:bookmarkEnd w:id="1"/>
    </w:p>
    <w:p w14:paraId="274702FE" w14:textId="77777777" w:rsidR="00067F62" w:rsidRPr="00067F62" w:rsidRDefault="00067F62" w:rsidP="009333B8">
      <w:pPr>
        <w:pStyle w:val="Heading1"/>
        <w:numPr>
          <w:ilvl w:val="0"/>
          <w:numId w:val="132"/>
        </w:numPr>
        <w:ind w:left="360" w:hanging="360"/>
        <w:rPr>
          <w:b w:val="0"/>
        </w:rPr>
      </w:pPr>
      <w:r w:rsidRPr="003874F6">
        <w:t>Overview/ Purpose</w:t>
      </w:r>
    </w:p>
    <w:p w14:paraId="6A4A9C51" w14:textId="7BF14EE5" w:rsidR="00067F62" w:rsidRPr="00067F62" w:rsidRDefault="00067F62" w:rsidP="00067F62">
      <w:r w:rsidRPr="00E32AA7">
        <w:t xml:space="preserve">There are many external compliance requirements which </w:t>
      </w:r>
      <w:r w:rsidRPr="00E32AA7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E32AA7">
        <w:rPr>
          <w:color w:val="FF0000"/>
        </w:rPr>
        <w:t>&gt;</w:t>
      </w:r>
      <w:r w:rsidRPr="00E32AA7">
        <w:t xml:space="preserve"> must adhere to from a regulatory standpoint</w:t>
      </w:r>
      <w:r>
        <w:t>,</w:t>
      </w:r>
      <w:r w:rsidRPr="00E32AA7">
        <w:t xml:space="preserve"> as well as all internal policies that </w:t>
      </w:r>
      <w:r w:rsidR="00AA2472" w:rsidRPr="00DA70EF">
        <w:t xml:space="preserve">the company </w:t>
      </w:r>
      <w:r w:rsidRPr="00E32AA7">
        <w:t xml:space="preserve">has developed and implemented. These policies must be periodically reviewed and internal practices modified as necessary to </w:t>
      </w:r>
      <w:r>
        <w:t>e</w:t>
      </w:r>
      <w:r w:rsidRPr="00E32AA7">
        <w:t>nsure compliance with all applicable policies</w:t>
      </w:r>
      <w:r>
        <w:t xml:space="preserve"> and regulatory requirements</w:t>
      </w:r>
      <w:r w:rsidRPr="00E32AA7">
        <w:t>.</w:t>
      </w:r>
    </w:p>
    <w:p w14:paraId="4B5BCBA8" w14:textId="7D6DF00F" w:rsidR="00067F62" w:rsidRPr="00E32AA7" w:rsidRDefault="00067F62" w:rsidP="00067F62">
      <w:r w:rsidRPr="00E32AA7">
        <w:t>The purpose of this policy is to delineate those policies</w:t>
      </w:r>
      <w:r>
        <w:t xml:space="preserve"> and requirements</w:t>
      </w:r>
      <w:r w:rsidRPr="00E32AA7">
        <w:t xml:space="preserve"> </w:t>
      </w:r>
      <w:r>
        <w:t>that</w:t>
      </w:r>
      <w:r w:rsidRPr="00E32AA7">
        <w:t xml:space="preserve"> </w:t>
      </w:r>
      <w:r w:rsidR="00CD7E2A" w:rsidRPr="00DA70EF">
        <w:t xml:space="preserve">have </w:t>
      </w:r>
      <w:r w:rsidR="006B2A16" w:rsidRPr="00DA70EF">
        <w:t>bee</w:t>
      </w:r>
      <w:r w:rsidR="006B2A16">
        <w:t>n</w:t>
      </w:r>
      <w:r w:rsidR="006B2A16" w:rsidRPr="00E32AA7">
        <w:t xml:space="preserve"> determined</w:t>
      </w:r>
      <w:r w:rsidRPr="00E32AA7">
        <w:t xml:space="preserve"> to </w:t>
      </w:r>
      <w:r>
        <w:t>be critical for maintaining</w:t>
      </w:r>
      <w:r w:rsidRPr="00E32AA7">
        <w:t xml:space="preserve"> a strong overall </w:t>
      </w:r>
      <w:r>
        <w:t>information</w:t>
      </w:r>
      <w:r w:rsidRPr="00E32AA7">
        <w:t xml:space="preserve"> security program.</w:t>
      </w:r>
    </w:p>
    <w:p w14:paraId="1BA0CC04" w14:textId="77777777" w:rsidR="00067F62" w:rsidRPr="003874F6" w:rsidRDefault="00067F62" w:rsidP="00A90792">
      <w:pPr>
        <w:pStyle w:val="Heading1"/>
        <w:ind w:left="360" w:hanging="360"/>
        <w:rPr>
          <w:b w:val="0"/>
        </w:rPr>
      </w:pPr>
      <w:r w:rsidRPr="003874F6">
        <w:t>Scope</w:t>
      </w:r>
    </w:p>
    <w:p w14:paraId="02BF8315" w14:textId="7D9F58DF" w:rsidR="00067F62" w:rsidRPr="00E32AA7" w:rsidRDefault="00067F62" w:rsidP="00067F62">
      <w:r w:rsidRPr="00E32AA7">
        <w:t xml:space="preserve">This policy applies to the senior management staff at </w:t>
      </w:r>
      <w:r w:rsidRPr="00E32AA7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E32AA7">
        <w:rPr>
          <w:color w:val="FF0000"/>
        </w:rPr>
        <w:t>&gt;</w:t>
      </w:r>
      <w:r w:rsidRPr="00E32AA7">
        <w:t xml:space="preserve"> who are responsible for determining </w:t>
      </w:r>
      <w:r w:rsidR="00E508C9" w:rsidRPr="00E32AA7">
        <w:t xml:space="preserve">the </w:t>
      </w:r>
      <w:r w:rsidR="00E508C9">
        <w:t>overall</w:t>
      </w:r>
      <w:r w:rsidRPr="00E32AA7">
        <w:t xml:space="preserve"> </w:t>
      </w:r>
      <w:r>
        <w:t>information</w:t>
      </w:r>
      <w:r w:rsidRPr="00E32AA7">
        <w:t xml:space="preserve"> security program and to the </w:t>
      </w:r>
      <w:r w:rsidRPr="00E32AA7">
        <w:rPr>
          <w:color w:val="FF0000"/>
        </w:rPr>
        <w:t>&lt;</w:t>
      </w:r>
      <w:r w:rsidRPr="00E32AA7">
        <w:rPr>
          <w:b/>
          <w:color w:val="FF0000"/>
        </w:rPr>
        <w:t>person or group responsible for policy</w:t>
      </w:r>
      <w:r w:rsidRPr="00E32AA7">
        <w:rPr>
          <w:color w:val="FF0000"/>
        </w:rPr>
        <w:t xml:space="preserve">&gt; </w:t>
      </w:r>
      <w:r w:rsidRPr="00E32AA7">
        <w:t xml:space="preserve">who provide </w:t>
      </w:r>
      <w:r>
        <w:t>i</w:t>
      </w:r>
      <w:r w:rsidRPr="00E32AA7">
        <w:t xml:space="preserve">nformation </w:t>
      </w:r>
      <w:r>
        <w:t>s</w:t>
      </w:r>
      <w:r w:rsidRPr="00E32AA7">
        <w:t xml:space="preserve">ecurity guidance to the management staff, implement those policies that are approved by the appropriate authority, and </w:t>
      </w:r>
      <w:r>
        <w:t>e</w:t>
      </w:r>
      <w:r w:rsidRPr="00E32AA7">
        <w:t>nsure that all policies are kept up-to-date with current guidelines/best practices.</w:t>
      </w:r>
    </w:p>
    <w:p w14:paraId="08147700" w14:textId="77777777" w:rsidR="00067F62" w:rsidRPr="003874F6" w:rsidRDefault="00067F62" w:rsidP="00A90792">
      <w:pPr>
        <w:pStyle w:val="Heading1"/>
        <w:ind w:left="360" w:hanging="360"/>
        <w:rPr>
          <w:b w:val="0"/>
        </w:rPr>
      </w:pPr>
      <w:r w:rsidRPr="00067F62">
        <w:t>Policy</w:t>
      </w:r>
    </w:p>
    <w:p w14:paraId="14260196" w14:textId="5E6B9552" w:rsidR="00067F62" w:rsidRPr="00E32AA7" w:rsidRDefault="00067F62" w:rsidP="00067F62">
      <w:r w:rsidRPr="00E32AA7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E32AA7">
        <w:rPr>
          <w:color w:val="FF0000"/>
        </w:rPr>
        <w:t>&gt;</w:t>
      </w:r>
      <w:r w:rsidRPr="00E32AA7">
        <w:t xml:space="preserve"> will comply with all external policies</w:t>
      </w:r>
      <w:r>
        <w:t>,</w:t>
      </w:r>
      <w:r w:rsidRPr="00E32AA7">
        <w:t xml:space="preserve"> includ</w:t>
      </w:r>
      <w:r>
        <w:t>ing</w:t>
      </w:r>
      <w:r w:rsidRPr="00E32AA7">
        <w:t>:</w:t>
      </w:r>
    </w:p>
    <w:p w14:paraId="1117A603" w14:textId="77777777" w:rsidR="00067F62" w:rsidRPr="00E32AA7" w:rsidRDefault="00067F62" w:rsidP="009333B8">
      <w:pPr>
        <w:pStyle w:val="ListParagraph"/>
        <w:numPr>
          <w:ilvl w:val="0"/>
          <w:numId w:val="131"/>
        </w:numPr>
        <w:spacing w:after="0"/>
      </w:pPr>
      <w:r w:rsidRPr="00E32AA7">
        <w:t>Health Insurance Portability and Accountability Act (HIPAA)</w:t>
      </w:r>
    </w:p>
    <w:p w14:paraId="5348731B" w14:textId="77777777" w:rsidR="00067F62" w:rsidRPr="00E32AA7" w:rsidRDefault="00067F62" w:rsidP="009333B8">
      <w:pPr>
        <w:pStyle w:val="ListParagraph"/>
        <w:numPr>
          <w:ilvl w:val="0"/>
          <w:numId w:val="131"/>
        </w:numPr>
        <w:spacing w:after="0"/>
      </w:pPr>
      <w:r w:rsidRPr="00E32AA7">
        <w:t>The Payment Card Industry Data Security Standard (PCI DSS)</w:t>
      </w:r>
    </w:p>
    <w:p w14:paraId="1D74A2DF" w14:textId="77777777" w:rsidR="00067F62" w:rsidRPr="00E32AA7" w:rsidRDefault="00067F62" w:rsidP="009333B8">
      <w:pPr>
        <w:pStyle w:val="ListParagraph"/>
        <w:numPr>
          <w:ilvl w:val="0"/>
          <w:numId w:val="131"/>
        </w:numPr>
        <w:spacing w:after="0"/>
      </w:pPr>
      <w:r w:rsidRPr="00E32AA7">
        <w:t>Fair and Accurate Credit Transactions Act of 2003 (FACT Act Red Flags Rules)</w:t>
      </w:r>
    </w:p>
    <w:p w14:paraId="1E990EE5" w14:textId="77777777" w:rsidR="00067F62" w:rsidRPr="00E32AA7" w:rsidRDefault="00067F62" w:rsidP="009333B8">
      <w:pPr>
        <w:pStyle w:val="ListParagraph"/>
        <w:numPr>
          <w:ilvl w:val="0"/>
          <w:numId w:val="131"/>
        </w:numPr>
        <w:spacing w:after="0"/>
      </w:pPr>
      <w:r w:rsidRPr="00E32AA7">
        <w:t xml:space="preserve">State requirements such as reporting any data breaches which involves PII (Personal Identification Information) </w:t>
      </w:r>
      <w:r w:rsidRPr="00E32AA7">
        <w:rPr>
          <w:color w:val="FF0000"/>
        </w:rPr>
        <w:t>&lt;</w:t>
      </w:r>
      <w:r w:rsidRPr="00E32AA7">
        <w:rPr>
          <w:b/>
          <w:color w:val="FF0000"/>
        </w:rPr>
        <w:t>remove if not applicable</w:t>
      </w:r>
      <w:r w:rsidRPr="00E32AA7">
        <w:rPr>
          <w:color w:val="FF0000"/>
        </w:rPr>
        <w:t>&gt;</w:t>
      </w:r>
    </w:p>
    <w:p w14:paraId="70DD1E69" w14:textId="77777777" w:rsidR="00067F62" w:rsidRPr="00E32AA7" w:rsidRDefault="00067F62" w:rsidP="009333B8">
      <w:pPr>
        <w:pStyle w:val="ListParagraph"/>
        <w:numPr>
          <w:ilvl w:val="0"/>
          <w:numId w:val="131"/>
        </w:numPr>
        <w:spacing w:after="0"/>
      </w:pPr>
      <w:r w:rsidRPr="00E32AA7">
        <w:t xml:space="preserve">Federal Energy Regulatory Commission/ North American Electric Reliability Corporation (FERC/NERC) </w:t>
      </w:r>
      <w:r w:rsidRPr="00E32AA7">
        <w:rPr>
          <w:color w:val="FF0000"/>
        </w:rPr>
        <w:t>&lt;</w:t>
      </w:r>
      <w:r w:rsidRPr="00E32AA7">
        <w:rPr>
          <w:b/>
          <w:color w:val="FF0000"/>
        </w:rPr>
        <w:t>remove if not applicable</w:t>
      </w:r>
      <w:r w:rsidRPr="00E32AA7">
        <w:rPr>
          <w:color w:val="FF0000"/>
        </w:rPr>
        <w:t>&gt;</w:t>
      </w:r>
    </w:p>
    <w:p w14:paraId="6DE49D53" w14:textId="77777777" w:rsidR="00067F62" w:rsidRPr="00E32AA7" w:rsidRDefault="00067F62" w:rsidP="009333B8">
      <w:pPr>
        <w:pStyle w:val="ListParagraph"/>
        <w:numPr>
          <w:ilvl w:val="0"/>
          <w:numId w:val="131"/>
        </w:numPr>
        <w:spacing w:after="0"/>
      </w:pPr>
      <w:r w:rsidRPr="00E32AA7">
        <w:t xml:space="preserve">The Sarbanes–Oxley Act (SOX) </w:t>
      </w:r>
      <w:r w:rsidRPr="00E32AA7">
        <w:rPr>
          <w:color w:val="FF0000"/>
        </w:rPr>
        <w:t>&lt;</w:t>
      </w:r>
      <w:r w:rsidRPr="00E32AA7">
        <w:rPr>
          <w:b/>
          <w:color w:val="FF0000"/>
        </w:rPr>
        <w:t>remove if not applicable</w:t>
      </w:r>
      <w:r w:rsidRPr="00E32AA7">
        <w:rPr>
          <w:color w:val="FF0000"/>
        </w:rPr>
        <w:t>&gt;</w:t>
      </w:r>
    </w:p>
    <w:p w14:paraId="76746AAA" w14:textId="77777777" w:rsidR="00067F62" w:rsidRPr="00E32AA7" w:rsidRDefault="00067F62" w:rsidP="009333B8">
      <w:pPr>
        <w:pStyle w:val="ListParagraph"/>
        <w:numPr>
          <w:ilvl w:val="0"/>
          <w:numId w:val="131"/>
        </w:numPr>
        <w:spacing w:after="0"/>
      </w:pPr>
      <w:r w:rsidRPr="00E32AA7">
        <w:t>The Gramm–Leach–Bliley Act (GLBA)</w:t>
      </w:r>
      <w:r w:rsidRPr="00E32AA7">
        <w:rPr>
          <w:color w:val="FF0000"/>
        </w:rPr>
        <w:t xml:space="preserve"> &lt;</w:t>
      </w:r>
      <w:r w:rsidRPr="00E32AA7">
        <w:rPr>
          <w:b/>
          <w:color w:val="FF0000"/>
        </w:rPr>
        <w:t>remove if not applicable</w:t>
      </w:r>
      <w:r w:rsidRPr="00E32AA7">
        <w:rPr>
          <w:color w:val="FF0000"/>
        </w:rPr>
        <w:t>&gt;</w:t>
      </w:r>
    </w:p>
    <w:p w14:paraId="6B2D0327" w14:textId="77777777" w:rsidR="00067F62" w:rsidRPr="00E32AA7" w:rsidRDefault="00067F62" w:rsidP="009333B8">
      <w:pPr>
        <w:pStyle w:val="ListParagraph"/>
        <w:numPr>
          <w:ilvl w:val="0"/>
          <w:numId w:val="131"/>
        </w:numPr>
        <w:spacing w:after="0"/>
      </w:pPr>
      <w:r w:rsidRPr="00E32AA7">
        <w:t>The United States Rural Utilities Service (RUS) requirements.</w:t>
      </w:r>
    </w:p>
    <w:p w14:paraId="38DED1B3" w14:textId="77777777" w:rsidR="00067F62" w:rsidRPr="00E32AA7" w:rsidRDefault="00067F62" w:rsidP="00067F62">
      <w:pPr>
        <w:pStyle w:val="ListParagraph"/>
        <w:spacing w:after="0"/>
      </w:pPr>
    </w:p>
    <w:p w14:paraId="571F9478" w14:textId="652152BA" w:rsidR="00067F62" w:rsidRPr="00E32AA7" w:rsidRDefault="00067F62" w:rsidP="00067F62">
      <w:r w:rsidRPr="00E32AA7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E32AA7">
        <w:rPr>
          <w:color w:val="FF0000"/>
        </w:rPr>
        <w:t>&gt;</w:t>
      </w:r>
      <w:r w:rsidRPr="00E32AA7">
        <w:t xml:space="preserve"> senior management and legal counsel will determine those compliance requirements to be appropriate as well as any internal policies developed by </w:t>
      </w:r>
      <w:r w:rsidRPr="00E32AA7">
        <w:rPr>
          <w:color w:val="FF0000"/>
        </w:rPr>
        <w:t>&lt;</w:t>
      </w:r>
      <w:r w:rsidRPr="00E32AA7">
        <w:rPr>
          <w:b/>
          <w:color w:val="FF0000"/>
        </w:rPr>
        <w:t>person or group responsible for policy</w:t>
      </w:r>
      <w:r w:rsidRPr="00E32AA7">
        <w:rPr>
          <w:color w:val="FF0000"/>
        </w:rPr>
        <w:t>&gt;</w:t>
      </w:r>
      <w:r>
        <w:rPr>
          <w:color w:val="FF0000"/>
        </w:rPr>
        <w:t>,</w:t>
      </w:r>
      <w:r w:rsidRPr="00E32AA7">
        <w:rPr>
          <w:color w:val="FF0000"/>
        </w:rPr>
        <w:t xml:space="preserve"> </w:t>
      </w:r>
      <w:r w:rsidRPr="00E32AA7">
        <w:t xml:space="preserve">the combination of which comprise the overall </w:t>
      </w:r>
      <w:r>
        <w:t>information</w:t>
      </w:r>
      <w:r w:rsidRPr="00E32AA7">
        <w:t xml:space="preserve"> security plan. </w:t>
      </w:r>
    </w:p>
    <w:p w14:paraId="718FB4A1" w14:textId="77777777" w:rsidR="00067F62" w:rsidRPr="003874F6" w:rsidRDefault="00067F62" w:rsidP="00A90792">
      <w:pPr>
        <w:pStyle w:val="Heading1"/>
        <w:ind w:left="360" w:hanging="360"/>
        <w:rPr>
          <w:b w:val="0"/>
        </w:rPr>
      </w:pPr>
      <w:r w:rsidRPr="003874F6">
        <w:t>Compliance</w:t>
      </w:r>
    </w:p>
    <w:p w14:paraId="31117A0D" w14:textId="77777777" w:rsidR="00067F62" w:rsidRDefault="00067F62" w:rsidP="00A90792">
      <w:pPr>
        <w:pStyle w:val="Heading2"/>
        <w:ind w:left="1080" w:hanging="720"/>
      </w:pPr>
      <w:r>
        <w:t xml:space="preserve">Compliance </w:t>
      </w:r>
      <w:r w:rsidRPr="00067F62">
        <w:t>Measurement</w:t>
      </w:r>
    </w:p>
    <w:p w14:paraId="06841E6A" w14:textId="4A6FA32E" w:rsidR="00067F62" w:rsidRPr="00E32AA7" w:rsidRDefault="00067F62" w:rsidP="00A90792">
      <w:pPr>
        <w:ind w:left="360"/>
      </w:pPr>
      <w:r w:rsidRPr="00E32AA7">
        <w:t xml:space="preserve">The </w:t>
      </w:r>
      <w:r w:rsidRPr="00E32AA7">
        <w:rPr>
          <w:color w:val="FF0000"/>
        </w:rPr>
        <w:t>&lt;</w:t>
      </w:r>
      <w:r w:rsidRPr="00E32AA7">
        <w:rPr>
          <w:b/>
          <w:color w:val="FF0000"/>
        </w:rPr>
        <w:t>person or group responsible for policy</w:t>
      </w:r>
      <w:r w:rsidRPr="00E32AA7">
        <w:rPr>
          <w:color w:val="FF0000"/>
        </w:rPr>
        <w:t xml:space="preserve">&gt; </w:t>
      </w:r>
      <w:r w:rsidRPr="00E32AA7">
        <w:t>will verify compliance to this policy through various methods, including but not limited to, business tool reports, internal and external audits, and feedback to the policy owner.</w:t>
      </w:r>
    </w:p>
    <w:p w14:paraId="158F8C3F" w14:textId="77777777" w:rsidR="00067F62" w:rsidRPr="00E32AA7" w:rsidRDefault="00067F62" w:rsidP="009333B8">
      <w:pPr>
        <w:pStyle w:val="ListParagraph"/>
        <w:keepNext/>
        <w:keepLines/>
        <w:numPr>
          <w:ilvl w:val="0"/>
          <w:numId w:val="75"/>
        </w:numPr>
        <w:spacing w:after="240" w:line="240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34F77" w:themeColor="accent1" w:themeShade="80"/>
          <w:sz w:val="24"/>
          <w:szCs w:val="24"/>
          <w:u w:color="1F4D78"/>
        </w:rPr>
      </w:pPr>
    </w:p>
    <w:p w14:paraId="3F040828" w14:textId="77777777" w:rsidR="00067F62" w:rsidRPr="00E32AA7" w:rsidRDefault="00067F62" w:rsidP="009333B8">
      <w:pPr>
        <w:pStyle w:val="ListParagraph"/>
        <w:keepNext/>
        <w:keepLines/>
        <w:numPr>
          <w:ilvl w:val="0"/>
          <w:numId w:val="75"/>
        </w:numPr>
        <w:spacing w:after="240" w:line="240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34F77" w:themeColor="accent1" w:themeShade="80"/>
          <w:sz w:val="24"/>
          <w:szCs w:val="24"/>
          <w:u w:color="1F4D78"/>
        </w:rPr>
      </w:pPr>
    </w:p>
    <w:p w14:paraId="18B9B403" w14:textId="77777777" w:rsidR="00067F62" w:rsidRPr="00E32AA7" w:rsidRDefault="00067F62" w:rsidP="009333B8">
      <w:pPr>
        <w:pStyle w:val="ListParagraph"/>
        <w:keepNext/>
        <w:keepLines/>
        <w:numPr>
          <w:ilvl w:val="0"/>
          <w:numId w:val="75"/>
        </w:numPr>
        <w:spacing w:after="240" w:line="240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34F77" w:themeColor="accent1" w:themeShade="80"/>
          <w:sz w:val="24"/>
          <w:szCs w:val="24"/>
          <w:u w:color="1F4D78"/>
        </w:rPr>
      </w:pPr>
    </w:p>
    <w:p w14:paraId="273B8386" w14:textId="77777777" w:rsidR="00067F62" w:rsidRPr="00E32AA7" w:rsidRDefault="00067F62" w:rsidP="009333B8">
      <w:pPr>
        <w:pStyle w:val="ListParagraph"/>
        <w:keepNext/>
        <w:keepLines/>
        <w:numPr>
          <w:ilvl w:val="0"/>
          <w:numId w:val="75"/>
        </w:numPr>
        <w:spacing w:after="240" w:line="240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34F77" w:themeColor="accent1" w:themeShade="80"/>
          <w:sz w:val="24"/>
          <w:szCs w:val="24"/>
          <w:u w:color="1F4D78"/>
        </w:rPr>
      </w:pPr>
    </w:p>
    <w:p w14:paraId="31317A81" w14:textId="77777777" w:rsidR="00067F62" w:rsidRPr="00E32AA7" w:rsidRDefault="00067F62" w:rsidP="009333B8">
      <w:pPr>
        <w:pStyle w:val="ListParagraph"/>
        <w:keepNext/>
        <w:keepLines/>
        <w:numPr>
          <w:ilvl w:val="1"/>
          <w:numId w:val="75"/>
        </w:numPr>
        <w:spacing w:after="240" w:line="240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34F77" w:themeColor="accent1" w:themeShade="80"/>
          <w:sz w:val="24"/>
          <w:szCs w:val="24"/>
          <w:u w:color="1F4D78"/>
        </w:rPr>
      </w:pPr>
    </w:p>
    <w:p w14:paraId="52358400" w14:textId="77777777" w:rsidR="00067F62" w:rsidRPr="00067F62" w:rsidRDefault="00067F62" w:rsidP="00A90792">
      <w:pPr>
        <w:pStyle w:val="Heading2"/>
        <w:ind w:left="1080" w:hanging="720"/>
      </w:pPr>
      <w:r>
        <w:t>Exceptions</w:t>
      </w:r>
    </w:p>
    <w:p w14:paraId="6A15C55F" w14:textId="37D3EDFC" w:rsidR="00067F62" w:rsidRPr="00E32AA7" w:rsidRDefault="00067F62" w:rsidP="00A90792">
      <w:pPr>
        <w:ind w:left="360"/>
      </w:pPr>
      <w:r w:rsidRPr="00E32AA7">
        <w:t xml:space="preserve">Any exception to the policy must be approved by the </w:t>
      </w:r>
      <w:r w:rsidRPr="00E32AA7">
        <w:rPr>
          <w:color w:val="FF0000"/>
        </w:rPr>
        <w:t>&lt;</w:t>
      </w:r>
      <w:r w:rsidRPr="00E32AA7">
        <w:rPr>
          <w:b/>
          <w:color w:val="FF0000"/>
        </w:rPr>
        <w:t>person or group responsible for policy</w:t>
      </w:r>
      <w:r w:rsidRPr="00E32AA7">
        <w:rPr>
          <w:color w:val="FF0000"/>
        </w:rPr>
        <w:t>&gt;</w:t>
      </w:r>
      <w:r w:rsidRPr="00E32AA7">
        <w:t xml:space="preserve"> in advance.</w:t>
      </w:r>
    </w:p>
    <w:p w14:paraId="6041B164" w14:textId="77777777" w:rsidR="00067F62" w:rsidRDefault="00067F62" w:rsidP="00A90792">
      <w:pPr>
        <w:pStyle w:val="Heading2"/>
        <w:ind w:left="1080" w:hanging="720"/>
      </w:pPr>
      <w:r>
        <w:t>Non-</w:t>
      </w:r>
      <w:r w:rsidRPr="00067F62">
        <w:t>Compliance</w:t>
      </w:r>
    </w:p>
    <w:p w14:paraId="533F2809" w14:textId="5343E06B" w:rsidR="00067F62" w:rsidRPr="00E32AA7" w:rsidRDefault="00067F62" w:rsidP="00A90792">
      <w:pPr>
        <w:ind w:left="360"/>
      </w:pPr>
      <w:r w:rsidRPr="00E32AA7">
        <w:t xml:space="preserve">An employee found to have violated this policy may be subject to disciplinary action in accordance with </w:t>
      </w:r>
      <w:r w:rsidR="00100644" w:rsidRPr="006B2A16">
        <w:rPr>
          <w:b/>
          <w:color w:val="FF0000"/>
        </w:rPr>
        <w:t>&lt;</w:t>
      </w:r>
      <w:r w:rsidR="0019142C" w:rsidRPr="006B2A16">
        <w:rPr>
          <w:b/>
          <w:color w:val="FF0000"/>
        </w:rPr>
        <w:t>Utility</w:t>
      </w:r>
      <w:r w:rsidR="00100644" w:rsidRPr="006B2A16">
        <w:rPr>
          <w:b/>
          <w:color w:val="FF0000"/>
        </w:rPr>
        <w:t xml:space="preserve"> Name&gt;</w:t>
      </w:r>
      <w:r w:rsidRPr="00E32AA7">
        <w:t xml:space="preserve"> HR policies.</w:t>
      </w:r>
    </w:p>
    <w:p w14:paraId="38EFD1E3" w14:textId="77777777" w:rsidR="00067F62" w:rsidRPr="00067F62" w:rsidRDefault="00067F62" w:rsidP="00067F62">
      <w:pPr>
        <w:pStyle w:val="Heading"/>
      </w:pPr>
      <w:r w:rsidRPr="003874F6">
        <w:t xml:space="preserve">Related Standards, Policies, and Processes </w:t>
      </w:r>
    </w:p>
    <w:p w14:paraId="6353CB87" w14:textId="77777777" w:rsidR="00067F62" w:rsidRPr="003874F6" w:rsidRDefault="00067F62" w:rsidP="00067F62">
      <w:pPr>
        <w:ind w:firstLine="432"/>
      </w:pPr>
      <w:r w:rsidRPr="003874F6">
        <w:t>(</w:t>
      </w:r>
      <w:r>
        <w:t>C</w:t>
      </w:r>
      <w:r w:rsidRPr="003874F6">
        <w:t>ross references to industry standards)</w:t>
      </w:r>
    </w:p>
    <w:p w14:paraId="20B3E09F" w14:textId="77777777" w:rsidR="00067F62" w:rsidRDefault="00067F62" w:rsidP="00067F62">
      <w:pPr>
        <w:pStyle w:val="ListParagraph"/>
        <w:numPr>
          <w:ilvl w:val="0"/>
          <w:numId w:val="4"/>
        </w:numPr>
      </w:pPr>
      <w:r>
        <w:t>Adapted from “Cyber Security Policy Framework”</w:t>
      </w:r>
    </w:p>
    <w:p w14:paraId="2FBD00CA" w14:textId="7AE85DDD" w:rsidR="00067F62" w:rsidRPr="00726029" w:rsidRDefault="002312DB" w:rsidP="00067F62">
      <w:pPr>
        <w:pStyle w:val="ListParagraph"/>
      </w:pPr>
      <w:r>
        <w:t>(</w:t>
      </w:r>
      <w:hyperlink r:id="rId10" w:history="1">
        <w:r w:rsidR="00D6727D" w:rsidRPr="00A66525">
          <w:rPr>
            <w:rStyle w:val="Hyperlink"/>
          </w:rPr>
          <w:t>https://www.nreca.coop/wp-content/uploads/2015/09/cyber_security_policy_framework.docx</w:t>
        </w:r>
      </w:hyperlink>
      <w:r w:rsidR="00D6727D">
        <w:t xml:space="preserve">) </w:t>
      </w:r>
      <w:r w:rsidR="00067F62">
        <w:rPr>
          <w:rStyle w:val="Hyperlink"/>
        </w:rPr>
        <w:br/>
      </w:r>
      <w:r w:rsidR="00067F62">
        <w:t>Cyber Security Policy Framework was created by the Kentucky Association of Electric Cooperatives (KAEC) Information Technology (IT) Association - Cyber Security Subcommittee.</w:t>
      </w:r>
      <w:r w:rsidR="00067F62">
        <w:br/>
      </w:r>
    </w:p>
    <w:p w14:paraId="00D414BC" w14:textId="77777777" w:rsidR="00067F62" w:rsidRPr="003874F6" w:rsidRDefault="00067F62" w:rsidP="00067F62">
      <w:pPr>
        <w:pStyle w:val="Heading"/>
      </w:pPr>
      <w:r w:rsidRPr="003874F6">
        <w:t>Responsibilities</w:t>
      </w:r>
    </w:p>
    <w:p w14:paraId="632C317C" w14:textId="3FBD5D55" w:rsidR="00067F62" w:rsidRPr="006B2A16" w:rsidRDefault="00D76214" w:rsidP="00067F62">
      <w:pPr>
        <w:pStyle w:val="Body"/>
        <w:rPr>
          <w:rFonts w:asciiTheme="minorHAnsi" w:hAnsiTheme="minorHAnsi" w:cstheme="minorHAnsi"/>
        </w:rPr>
      </w:pPr>
      <w:r w:rsidRPr="006B2A16">
        <w:rPr>
          <w:rFonts w:asciiTheme="minorHAnsi" w:hAnsiTheme="minorHAnsi" w:cstheme="minorHAnsi"/>
        </w:rPr>
        <w:t>The ISP uses the RACI model for assigning responsibility.</w:t>
      </w:r>
    </w:p>
    <w:tbl>
      <w:tblPr>
        <w:tblStyle w:val="GridTable4-Accent21"/>
        <w:tblW w:w="8786" w:type="dxa"/>
        <w:tblLayout w:type="fixed"/>
        <w:tblLook w:val="04A0" w:firstRow="1" w:lastRow="0" w:firstColumn="1" w:lastColumn="0" w:noHBand="0" w:noVBand="1"/>
      </w:tblPr>
      <w:tblGrid>
        <w:gridCol w:w="2196"/>
        <w:gridCol w:w="2196"/>
        <w:gridCol w:w="2197"/>
        <w:gridCol w:w="2197"/>
      </w:tblGrid>
      <w:tr w:rsidR="00067F62" w14:paraId="67C83E36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1733CF0" w14:textId="77777777" w:rsidR="00067F62" w:rsidRDefault="00067F62" w:rsidP="00067F62">
            <w:pPr>
              <w:pStyle w:val="Body"/>
              <w:jc w:val="center"/>
            </w:pPr>
            <w:r>
              <w:rPr>
                <w:color w:val="FFFFFF"/>
                <w:u w:color="FFFFFF"/>
              </w:rPr>
              <w:t>Responsible</w:t>
            </w:r>
          </w:p>
        </w:tc>
        <w:tc>
          <w:tcPr>
            <w:tcW w:w="2196" w:type="dxa"/>
          </w:tcPr>
          <w:p w14:paraId="2CF58ECB" w14:textId="77777777" w:rsidR="00067F62" w:rsidRDefault="00067F62" w:rsidP="00067F62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u w:color="FFFFFF"/>
              </w:rPr>
              <w:t>Accountable</w:t>
            </w:r>
          </w:p>
        </w:tc>
        <w:tc>
          <w:tcPr>
            <w:tcW w:w="2197" w:type="dxa"/>
          </w:tcPr>
          <w:p w14:paraId="6373BFC9" w14:textId="77777777" w:rsidR="00067F62" w:rsidRDefault="00067F62" w:rsidP="00067F62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u w:color="FFFFFF"/>
              </w:rPr>
              <w:t>Consulted</w:t>
            </w:r>
          </w:p>
        </w:tc>
        <w:tc>
          <w:tcPr>
            <w:tcW w:w="2197" w:type="dxa"/>
          </w:tcPr>
          <w:p w14:paraId="6A916B24" w14:textId="77777777" w:rsidR="00067F62" w:rsidRDefault="00067F62" w:rsidP="00067F62">
            <w:pPr>
              <w:pStyle w:val="Body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u w:color="FFFFFF"/>
              </w:rPr>
              <w:t>Informed</w:t>
            </w:r>
          </w:p>
        </w:tc>
      </w:tr>
      <w:tr w:rsidR="00067F62" w14:paraId="212E4A86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08077A4F" w14:textId="77777777" w:rsidR="00067F62" w:rsidRPr="00D345CD" w:rsidRDefault="00067F62" w:rsidP="00067F62">
            <w:pPr>
              <w:pStyle w:val="Body"/>
              <w:spacing w:after="0" w:line="240" w:lineRule="auto"/>
              <w:jc w:val="center"/>
              <w:rPr>
                <w:bCs w:val="0"/>
              </w:rPr>
            </w:pPr>
            <w:r>
              <w:rPr>
                <w:b w:val="0"/>
                <w:bCs w:val="0"/>
              </w:rPr>
              <w:br/>
            </w:r>
            <w:r w:rsidRPr="00D345CD">
              <w:rPr>
                <w:bCs w:val="0"/>
              </w:rPr>
              <w:t>Legal</w:t>
            </w:r>
          </w:p>
          <w:p w14:paraId="21EBD043" w14:textId="77777777" w:rsidR="00067F62" w:rsidRDefault="00067F62" w:rsidP="00067F62">
            <w:pPr>
              <w:pStyle w:val="Body"/>
              <w:spacing w:after="0" w:line="240" w:lineRule="auto"/>
              <w:jc w:val="center"/>
            </w:pPr>
            <w:r>
              <w:rPr>
                <w:b w:val="0"/>
                <w:bCs w:val="0"/>
              </w:rPr>
              <w:br/>
            </w:r>
          </w:p>
        </w:tc>
        <w:tc>
          <w:tcPr>
            <w:tcW w:w="2196" w:type="dxa"/>
          </w:tcPr>
          <w:p w14:paraId="6EA17094" w14:textId="77777777" w:rsidR="00067F62" w:rsidRDefault="00067F62" w:rsidP="00067F62">
            <w:pPr>
              <w:pStyle w:val="Body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68E097" w14:textId="77777777" w:rsidR="00067F62" w:rsidRDefault="00067F62" w:rsidP="00067F62">
            <w:pPr>
              <w:pStyle w:val="Body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CEO/GM</w:t>
            </w:r>
          </w:p>
        </w:tc>
        <w:tc>
          <w:tcPr>
            <w:tcW w:w="2197" w:type="dxa"/>
          </w:tcPr>
          <w:p w14:paraId="4C7CE063" w14:textId="77777777" w:rsidR="00067F62" w:rsidRDefault="00067F62" w:rsidP="00067F62">
            <w:pPr>
              <w:pStyle w:val="Body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COO</w:t>
            </w:r>
          </w:p>
          <w:p w14:paraId="6DB92681" w14:textId="77777777" w:rsidR="00067F62" w:rsidRDefault="00067F62" w:rsidP="00067F62">
            <w:pPr>
              <w:pStyle w:val="Body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CFO</w:t>
            </w:r>
            <w:r>
              <w:rPr>
                <w:b/>
                <w:bCs/>
              </w:rPr>
              <w:br/>
              <w:t>HR</w:t>
            </w:r>
          </w:p>
          <w:p w14:paraId="73071C52" w14:textId="77777777" w:rsidR="00067F62" w:rsidRDefault="00067F62" w:rsidP="00067F62">
            <w:pPr>
              <w:pStyle w:val="Body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MS</w:t>
            </w:r>
          </w:p>
        </w:tc>
        <w:tc>
          <w:tcPr>
            <w:tcW w:w="2197" w:type="dxa"/>
          </w:tcPr>
          <w:p w14:paraId="72D6608F" w14:textId="77777777" w:rsidR="00067F62" w:rsidRDefault="00067F62" w:rsidP="00067F62">
            <w:pPr>
              <w:pStyle w:val="Body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434802" w14:textId="77777777" w:rsidR="00067F62" w:rsidRDefault="00067F62" w:rsidP="00067F62">
            <w:pPr>
              <w:pStyle w:val="Body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All Employees</w:t>
            </w:r>
          </w:p>
        </w:tc>
      </w:tr>
    </w:tbl>
    <w:p w14:paraId="07EDA956" w14:textId="58FD76A8" w:rsidR="00067F62" w:rsidRDefault="00067F62" w:rsidP="00067F62">
      <w:pPr>
        <w:pStyle w:val="Body"/>
        <w:jc w:val="center"/>
        <w:rPr>
          <w:i/>
          <w:iCs/>
          <w:color w:val="0070C0"/>
          <w:u w:color="0070C0"/>
        </w:rPr>
      </w:pPr>
      <w:r>
        <w:rPr>
          <w:i/>
          <w:iCs/>
          <w:color w:val="0070C0"/>
          <w:u w:color="0070C0"/>
        </w:rPr>
        <w:t xml:space="preserve">[Explanatory Note:  </w:t>
      </w:r>
      <w:r w:rsidR="00465FD7">
        <w:rPr>
          <w:i/>
          <w:iCs/>
          <w:color w:val="0070C0"/>
          <w:u w:color="0070C0"/>
        </w:rPr>
        <w:t>&lt;Utility Name&gt;</w:t>
      </w:r>
      <w:r>
        <w:rPr>
          <w:i/>
          <w:iCs/>
          <w:color w:val="0070C0"/>
          <w:u w:color="0070C0"/>
        </w:rPr>
        <w:t xml:space="preserve"> should feel free to alter section to reflect the specific responsibility requirement determined by </w:t>
      </w:r>
      <w:r w:rsidR="00465FD7">
        <w:rPr>
          <w:i/>
          <w:iCs/>
          <w:color w:val="0070C0"/>
          <w:u w:color="0070C0"/>
        </w:rPr>
        <w:t>&lt;Utility Name&gt; management</w:t>
      </w:r>
      <w:r>
        <w:rPr>
          <w:i/>
          <w:iCs/>
          <w:color w:val="0070C0"/>
          <w:u w:color="0070C0"/>
        </w:rPr>
        <w:t>.]</w:t>
      </w:r>
    </w:p>
    <w:p w14:paraId="4385F3A0" w14:textId="77777777" w:rsidR="00067F62" w:rsidRDefault="00067F62" w:rsidP="00067F62">
      <w:pPr>
        <w:pStyle w:val="Body"/>
        <w:jc w:val="center"/>
      </w:pPr>
    </w:p>
    <w:p w14:paraId="04E0217D" w14:textId="77777777" w:rsidR="00067F62" w:rsidRPr="003874F6" w:rsidRDefault="00067F62" w:rsidP="00067F62">
      <w:pPr>
        <w:pStyle w:val="Heading"/>
      </w:pPr>
      <w:r w:rsidRPr="003874F6">
        <w:rPr>
          <w:lang w:val="it-IT"/>
        </w:rPr>
        <w:t>Approval</w:t>
      </w:r>
    </w:p>
    <w:p w14:paraId="25715C27" w14:textId="77777777" w:rsidR="00067F62" w:rsidRDefault="00067F62">
      <w:pPr>
        <w:pStyle w:val="Body"/>
        <w:spacing w:after="0" w:line="240" w:lineRule="auto"/>
      </w:pPr>
    </w:p>
    <w:p w14:paraId="08E9104C" w14:textId="77777777" w:rsidR="00067F62" w:rsidRDefault="00067F62">
      <w:pPr>
        <w:pStyle w:val="Body"/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22FC10" w14:textId="77777777" w:rsidR="00067F62" w:rsidRDefault="00067F62">
      <w:pPr>
        <w:pStyle w:val="Body"/>
        <w:spacing w:after="0" w:line="240" w:lineRule="auto"/>
      </w:pPr>
      <w:r>
        <w:rPr>
          <w:color w:val="FF0000"/>
          <w:u w:color="FF0000"/>
        </w:rPr>
        <w:t>&lt;</w:t>
      </w:r>
      <w:r>
        <w:rPr>
          <w:b/>
          <w:bCs/>
          <w:color w:val="FF0000"/>
          <w:u w:color="FF0000"/>
        </w:rPr>
        <w:t>Insert title of approver</w:t>
      </w:r>
      <w:r>
        <w:rPr>
          <w:color w:val="FF0000"/>
          <w:u w:color="FF0000"/>
        </w:rPr>
        <w:t>&gt;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Date</w:t>
      </w:r>
    </w:p>
    <w:p w14:paraId="092CE475" w14:textId="77777777" w:rsidR="00067F62" w:rsidRDefault="00067F62">
      <w:pPr>
        <w:pStyle w:val="Body"/>
        <w:spacing w:after="0" w:line="240" w:lineRule="auto"/>
      </w:pPr>
    </w:p>
    <w:p w14:paraId="1A450CAF" w14:textId="77777777" w:rsidR="00067F62" w:rsidRDefault="00067F62">
      <w:pPr>
        <w:pStyle w:val="Body"/>
        <w:spacing w:after="0" w:line="240" w:lineRule="auto"/>
      </w:pPr>
    </w:p>
    <w:p w14:paraId="6604678B" w14:textId="77777777" w:rsidR="00067F62" w:rsidRDefault="00067F62">
      <w:pPr>
        <w:pStyle w:val="Body"/>
        <w:spacing w:after="0" w:line="240" w:lineRule="auto"/>
      </w:pPr>
    </w:p>
    <w:p w14:paraId="520534C2" w14:textId="77777777" w:rsidR="00067F62" w:rsidRDefault="00067F62" w:rsidP="00067F62">
      <w:pPr>
        <w:pStyle w:val="Heading"/>
      </w:pPr>
      <w:r>
        <w:t>Revision History</w:t>
      </w:r>
    </w:p>
    <w:tbl>
      <w:tblPr>
        <w:tblW w:w="8849" w:type="dxa"/>
        <w:tblInd w:w="5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69"/>
        <w:gridCol w:w="1874"/>
        <w:gridCol w:w="5106"/>
      </w:tblGrid>
      <w:tr w:rsidR="00067F62" w14:paraId="036380F7" w14:textId="77777777" w:rsidTr="00067F62">
        <w:trPr>
          <w:trHeight w:val="24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DA95" w14:textId="77777777" w:rsidR="00067F62" w:rsidRPr="006B2A16" w:rsidRDefault="00067F62">
            <w:pPr>
              <w:pStyle w:val="Body"/>
              <w:rPr>
                <w:rFonts w:asciiTheme="minorHAnsi" w:hAnsiTheme="minorHAnsi" w:cstheme="minorHAnsi"/>
              </w:rPr>
            </w:pPr>
            <w:r w:rsidRPr="006B2A16">
              <w:rPr>
                <w:rFonts w:asciiTheme="minorHAnsi" w:hAnsiTheme="minorHAnsi" w:cstheme="minorHAnsi"/>
              </w:rPr>
              <w:t>Date of Change(s)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F5361" w14:textId="77777777" w:rsidR="00067F62" w:rsidRPr="006B2A16" w:rsidRDefault="00067F62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6B2A16">
              <w:rPr>
                <w:rFonts w:asciiTheme="minorHAnsi" w:hAnsiTheme="minorHAnsi" w:cstheme="minorHAnsi"/>
              </w:rPr>
              <w:t>Revised by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947F" w14:textId="77777777" w:rsidR="00067F62" w:rsidRPr="006B2A16" w:rsidRDefault="00067F62">
            <w:pPr>
              <w:pStyle w:val="Body"/>
              <w:spacing w:after="0" w:line="240" w:lineRule="auto"/>
              <w:rPr>
                <w:rFonts w:asciiTheme="minorHAnsi" w:hAnsiTheme="minorHAnsi" w:cstheme="minorHAnsi"/>
              </w:rPr>
            </w:pPr>
            <w:r w:rsidRPr="006B2A16">
              <w:rPr>
                <w:rFonts w:asciiTheme="minorHAnsi" w:hAnsiTheme="minorHAnsi" w:cstheme="minorHAnsi"/>
              </w:rPr>
              <w:t>Summary of Change(s)</w:t>
            </w:r>
          </w:p>
        </w:tc>
      </w:tr>
      <w:tr w:rsidR="00067F62" w14:paraId="5E56CDAA" w14:textId="77777777" w:rsidTr="00067F62">
        <w:trPr>
          <w:trHeight w:val="24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3962" w14:textId="77777777" w:rsidR="00067F62" w:rsidRDefault="00067F62"/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1A2C" w14:textId="77777777" w:rsidR="00067F62" w:rsidRDefault="00067F62"/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60550" w14:textId="77777777" w:rsidR="00067F62" w:rsidRDefault="00067F62"/>
        </w:tc>
      </w:tr>
      <w:tr w:rsidR="00067F62" w14:paraId="27A95543" w14:textId="77777777" w:rsidTr="00067F62">
        <w:trPr>
          <w:trHeight w:val="24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D969" w14:textId="77777777" w:rsidR="00067F62" w:rsidRDefault="00067F62"/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D6524" w14:textId="77777777" w:rsidR="00067F62" w:rsidRDefault="00067F62"/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DE14F" w14:textId="77777777" w:rsidR="00067F62" w:rsidRDefault="00067F62"/>
        </w:tc>
      </w:tr>
      <w:tr w:rsidR="00067F62" w14:paraId="2F68AECF" w14:textId="77777777" w:rsidTr="00067F62">
        <w:trPr>
          <w:trHeight w:val="24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C2B5" w14:textId="77777777" w:rsidR="00067F62" w:rsidRDefault="00067F62"/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26BA6" w14:textId="77777777" w:rsidR="00067F62" w:rsidRDefault="00067F62"/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8AD9A" w14:textId="77777777" w:rsidR="00067F62" w:rsidRDefault="00067F62"/>
        </w:tc>
      </w:tr>
      <w:tr w:rsidR="00067F62" w14:paraId="496C41B7" w14:textId="77777777" w:rsidTr="00067F62">
        <w:trPr>
          <w:trHeight w:val="24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0813" w14:textId="77777777" w:rsidR="00067F62" w:rsidRDefault="00067F62"/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A8AD" w14:textId="77777777" w:rsidR="00067F62" w:rsidRDefault="00067F62"/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CE4A4" w14:textId="77777777" w:rsidR="00067F62" w:rsidRDefault="00067F62"/>
        </w:tc>
      </w:tr>
    </w:tbl>
    <w:p w14:paraId="5921F706" w14:textId="77777777" w:rsidR="00067F62" w:rsidRDefault="00067F62" w:rsidP="00067F62"/>
    <w:p w14:paraId="070E9074" w14:textId="33B14CEF" w:rsidR="0006449B" w:rsidRDefault="0006449B">
      <w:r>
        <w:br w:type="page"/>
      </w:r>
    </w:p>
    <w:p w14:paraId="33E13BA6" w14:textId="77777777" w:rsidR="00067F62" w:rsidRDefault="00067F62">
      <w:bookmarkStart w:id="2" w:name="_GoBack"/>
      <w:bookmarkEnd w:id="2"/>
    </w:p>
    <w:sectPr w:rsidR="00067F62" w:rsidSect="00C50953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7287441B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C50953">
      <w:rPr>
        <w:rFonts w:asciiTheme="majorHAnsi" w:eastAsiaTheme="majorEastAsia" w:hAnsiTheme="majorHAnsi" w:cstheme="majorBidi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5318E6C3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C50953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449B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21C0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044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0953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1C8B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reca.coop/wp-content/uploads/2015/09/cyber_security_policy_framework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0031F-8B61-4079-9821-BEF121AF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7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2016-06-10T12:58:00Z</dcterms:created>
  <dcterms:modified xsi:type="dcterms:W3CDTF">2016-06-10T13:05:00Z</dcterms:modified>
</cp:coreProperties>
</file>