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5FBD6" w14:textId="781706C7" w:rsidR="004D0E50" w:rsidRDefault="004D0E50" w:rsidP="004D0E50">
      <w:bookmarkStart w:id="0" w:name="_Toc452019050"/>
      <w:bookmarkStart w:id="1" w:name="_Toc453241991"/>
      <w:r>
        <w:rPr>
          <w:noProof/>
        </w:rPr>
        <w:drawing>
          <wp:inline distT="0" distB="0" distL="0" distR="0" wp14:anchorId="620888D3" wp14:editId="2A3CC324">
            <wp:extent cx="638175" cy="767715"/>
            <wp:effectExtent l="38100" t="38100" r="66675" b="89535"/>
            <wp:docPr id="1073741826" name="Picture 1073741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669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</w:p>
    <w:p w14:paraId="608D3EEA" w14:textId="77777777" w:rsidR="00401367" w:rsidRDefault="00401367" w:rsidP="00401367">
      <w:pPr>
        <w:pStyle w:val="Title"/>
        <w:jc w:val="center"/>
      </w:pPr>
      <w:r w:rsidRPr="00401367">
        <w:t>Information</w:t>
      </w:r>
      <w:r>
        <w:t xml:space="preserve"> Security Incident Response Plan</w:t>
      </w:r>
      <w:bookmarkEnd w:id="0"/>
      <w:bookmarkEnd w:id="1"/>
    </w:p>
    <w:p w14:paraId="25B375CB" w14:textId="77777777" w:rsidR="00401367" w:rsidRPr="00CF575F" w:rsidRDefault="00401367" w:rsidP="009333B8">
      <w:pPr>
        <w:pStyle w:val="Heading1"/>
        <w:numPr>
          <w:ilvl w:val="0"/>
          <w:numId w:val="145"/>
        </w:numPr>
        <w:ind w:left="360" w:hanging="360"/>
      </w:pPr>
      <w:r w:rsidRPr="00401367">
        <w:t>Overview</w:t>
      </w:r>
      <w:r w:rsidRPr="00CF575F">
        <w:t>/Purpose</w:t>
      </w:r>
    </w:p>
    <w:p w14:paraId="70BABDF7" w14:textId="3F811EF5" w:rsidR="00401367" w:rsidRDefault="00401367" w:rsidP="009E0BD3">
      <w:pPr>
        <w:ind w:left="360"/>
      </w:pPr>
      <w:r w:rsidRPr="009F5C01">
        <w:t>The</w:t>
      </w:r>
      <w:r>
        <w:rPr>
          <w:b/>
          <w:color w:val="FF0000"/>
        </w:rPr>
        <w:t xml:space="preserve"> </w:t>
      </w:r>
      <w:r w:rsidR="003D52F4">
        <w:rPr>
          <w:b/>
          <w:color w:val="FF0000"/>
        </w:rPr>
        <w:t>&lt;Utility Name&gt;</w:t>
      </w:r>
      <w:r>
        <w:t xml:space="preserve"> incident response plan defines the preparation for the handling of incidents, and outlines the incident response phases.</w:t>
      </w:r>
    </w:p>
    <w:p w14:paraId="4716A909" w14:textId="77777777" w:rsidR="00401367" w:rsidRPr="005A2D4F" w:rsidRDefault="00401367" w:rsidP="00A90792">
      <w:pPr>
        <w:pStyle w:val="Heading1"/>
        <w:ind w:left="360" w:hanging="360"/>
      </w:pPr>
      <w:r w:rsidRPr="00CF575F">
        <w:t>Scope</w:t>
      </w:r>
    </w:p>
    <w:p w14:paraId="4B5FA54C" w14:textId="77777777" w:rsidR="00401367" w:rsidRDefault="00401367" w:rsidP="009E0BD3">
      <w:pPr>
        <w:ind w:left="360"/>
      </w:pPr>
      <w:r>
        <w:t>Proper response to information security incidents requires:</w:t>
      </w:r>
    </w:p>
    <w:p w14:paraId="2F552515" w14:textId="77777777" w:rsidR="00401367" w:rsidRPr="00CC1255" w:rsidRDefault="00401367" w:rsidP="009333B8">
      <w:pPr>
        <w:pStyle w:val="ListParagraph"/>
        <w:numPr>
          <w:ilvl w:val="0"/>
          <w:numId w:val="144"/>
        </w:numPr>
        <w:ind w:left="720"/>
        <w:rPr>
          <w:i/>
          <w:color w:val="FF0000"/>
        </w:rPr>
      </w:pPr>
      <w:r>
        <w:t>A designated team with assigned roles</w:t>
      </w:r>
    </w:p>
    <w:p w14:paraId="707C739D" w14:textId="77777777" w:rsidR="00401367" w:rsidRPr="00871AAD" w:rsidRDefault="00401367" w:rsidP="009333B8">
      <w:pPr>
        <w:pStyle w:val="ListParagraph"/>
        <w:numPr>
          <w:ilvl w:val="0"/>
          <w:numId w:val="144"/>
        </w:numPr>
        <w:ind w:left="720"/>
        <w:rPr>
          <w:i/>
          <w:color w:val="FF0000"/>
        </w:rPr>
      </w:pPr>
      <w:r>
        <w:t>Internal and external communication lists</w:t>
      </w:r>
    </w:p>
    <w:p w14:paraId="716C37D5" w14:textId="77777777" w:rsidR="00401367" w:rsidRPr="00CC1255" w:rsidRDefault="00401367" w:rsidP="009333B8">
      <w:pPr>
        <w:pStyle w:val="ListParagraph"/>
        <w:numPr>
          <w:ilvl w:val="0"/>
          <w:numId w:val="144"/>
        </w:numPr>
        <w:ind w:left="720"/>
        <w:rPr>
          <w:i/>
          <w:color w:val="FF0000"/>
        </w:rPr>
      </w:pPr>
      <w:r>
        <w:t>Metrics for determining incident impact</w:t>
      </w:r>
    </w:p>
    <w:p w14:paraId="5FA6D280" w14:textId="77777777" w:rsidR="00401367" w:rsidRPr="00871AAD" w:rsidRDefault="00401367" w:rsidP="009333B8">
      <w:pPr>
        <w:pStyle w:val="ListParagraph"/>
        <w:numPr>
          <w:ilvl w:val="0"/>
          <w:numId w:val="144"/>
        </w:numPr>
        <w:ind w:left="720"/>
        <w:rPr>
          <w:i/>
          <w:color w:val="FF0000"/>
        </w:rPr>
      </w:pPr>
      <w:r>
        <w:t>Testing and response maturing plan</w:t>
      </w:r>
    </w:p>
    <w:p w14:paraId="1DE6568A" w14:textId="77777777" w:rsidR="00401367" w:rsidRPr="00CC1255" w:rsidRDefault="00401367" w:rsidP="009333B8">
      <w:pPr>
        <w:pStyle w:val="ListParagraph"/>
        <w:numPr>
          <w:ilvl w:val="0"/>
          <w:numId w:val="144"/>
        </w:numPr>
        <w:ind w:left="720"/>
        <w:rPr>
          <w:i/>
          <w:color w:val="FF0000"/>
        </w:rPr>
      </w:pPr>
      <w:r>
        <w:t>Defined phases of incident response</w:t>
      </w:r>
    </w:p>
    <w:p w14:paraId="28929E09" w14:textId="0DABE4C5" w:rsidR="00401367" w:rsidRDefault="00401367" w:rsidP="00401367">
      <w:pPr>
        <w:ind w:left="360"/>
        <w:rPr>
          <w:i/>
          <w:color w:val="FF0000"/>
        </w:rPr>
      </w:pPr>
      <w:r w:rsidRPr="00CC1255">
        <w:rPr>
          <w:i/>
          <w:color w:val="FF0000"/>
        </w:rPr>
        <w:t xml:space="preserve">{Some </w:t>
      </w:r>
      <w:r w:rsidR="00A439A2">
        <w:rPr>
          <w:i/>
          <w:color w:val="FF0000"/>
        </w:rPr>
        <w:t>utilities</w:t>
      </w:r>
      <w:r w:rsidRPr="00CC1255">
        <w:rPr>
          <w:i/>
          <w:color w:val="FF0000"/>
        </w:rPr>
        <w:t xml:space="preserve"> may create SIRT (Security Incident Response Team). The other option is to use ICS (Incident Command System) structure</w:t>
      </w:r>
      <w:r>
        <w:rPr>
          <w:i/>
          <w:color w:val="FF0000"/>
        </w:rPr>
        <w:t>,</w:t>
      </w:r>
      <w:r w:rsidRPr="00CC1255">
        <w:rPr>
          <w:i/>
          <w:color w:val="FF0000"/>
        </w:rPr>
        <w:t xml:space="preserve"> which several Coops are already using. </w:t>
      </w:r>
      <w:r>
        <w:rPr>
          <w:i/>
          <w:color w:val="FF0000"/>
        </w:rPr>
        <w:t>The a</w:t>
      </w:r>
      <w:r w:rsidRPr="00CC1255">
        <w:rPr>
          <w:i/>
          <w:color w:val="FF0000"/>
        </w:rPr>
        <w:t>dvantage of this approach is that the same ICS can be used to handle different types of incidents}</w:t>
      </w:r>
    </w:p>
    <w:p w14:paraId="1BC59810" w14:textId="77777777" w:rsidR="00401367" w:rsidRDefault="00401367">
      <w:r>
        <w:br w:type="page"/>
      </w:r>
    </w:p>
    <w:p w14:paraId="460DA564" w14:textId="77777777" w:rsidR="00401367" w:rsidRDefault="00401367" w:rsidP="00A90792">
      <w:pPr>
        <w:pStyle w:val="Heading1"/>
        <w:ind w:left="360" w:hanging="360"/>
      </w:pPr>
      <w:r>
        <w:lastRenderedPageBreak/>
        <w:t xml:space="preserve">Incident </w:t>
      </w:r>
      <w:r w:rsidRPr="00401367">
        <w:t>Preparation</w:t>
      </w:r>
    </w:p>
    <w:p w14:paraId="148EB650" w14:textId="77777777" w:rsidR="00401367" w:rsidRDefault="00401367" w:rsidP="00A90792">
      <w:pPr>
        <w:pStyle w:val="Heading2"/>
        <w:ind w:left="1080" w:hanging="720"/>
      </w:pPr>
      <w:r>
        <w:t xml:space="preserve">Incident </w:t>
      </w:r>
      <w:r w:rsidRPr="00401367">
        <w:t>Response</w:t>
      </w:r>
      <w:r>
        <w:t xml:space="preserve"> Team and Roles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1998"/>
        <w:gridCol w:w="3510"/>
        <w:gridCol w:w="1800"/>
        <w:gridCol w:w="1710"/>
      </w:tblGrid>
      <w:tr w:rsidR="00401367" w14:paraId="68271DDD" w14:textId="77777777" w:rsidTr="00D3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1F4CB64" w14:textId="77777777" w:rsidR="00401367" w:rsidRDefault="00401367" w:rsidP="009E0BD3">
            <w:r>
              <w:t>Role</w:t>
            </w:r>
          </w:p>
        </w:tc>
        <w:tc>
          <w:tcPr>
            <w:tcW w:w="3510" w:type="dxa"/>
          </w:tcPr>
          <w:p w14:paraId="672B9B3C" w14:textId="77777777" w:rsidR="00401367" w:rsidRDefault="00401367" w:rsidP="009E0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0" w:type="dxa"/>
          </w:tcPr>
          <w:p w14:paraId="0EEF39D2" w14:textId="77777777" w:rsidR="00401367" w:rsidRDefault="00401367" w:rsidP="009E0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Person</w:t>
            </w:r>
          </w:p>
        </w:tc>
        <w:tc>
          <w:tcPr>
            <w:tcW w:w="1710" w:type="dxa"/>
          </w:tcPr>
          <w:p w14:paraId="0A89EBC8" w14:textId="77777777" w:rsidR="00401367" w:rsidRDefault="00401367" w:rsidP="009E0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Person</w:t>
            </w:r>
          </w:p>
        </w:tc>
      </w:tr>
      <w:tr w:rsidR="00401367" w14:paraId="5CA79217" w14:textId="77777777" w:rsidTr="00D3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FB188B1" w14:textId="77777777" w:rsidR="00401367" w:rsidRDefault="00401367" w:rsidP="009E0BD3">
            <w:r>
              <w:t>Incident Manager</w:t>
            </w:r>
          </w:p>
        </w:tc>
        <w:tc>
          <w:tcPr>
            <w:tcW w:w="3510" w:type="dxa"/>
          </w:tcPr>
          <w:p w14:paraId="18D5CD3D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Analyze event information and estimate incident impact. Coordinate Team effort in all phases of response.</w:t>
            </w:r>
          </w:p>
        </w:tc>
        <w:tc>
          <w:tcPr>
            <w:tcW w:w="1800" w:type="dxa"/>
          </w:tcPr>
          <w:p w14:paraId="5D2F55F4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Manager</w:t>
            </w:r>
          </w:p>
        </w:tc>
        <w:tc>
          <w:tcPr>
            <w:tcW w:w="1710" w:type="dxa"/>
          </w:tcPr>
          <w:p w14:paraId="7C0165B4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Administrator</w:t>
            </w:r>
          </w:p>
        </w:tc>
      </w:tr>
      <w:tr w:rsidR="00401367" w14:paraId="568D0D51" w14:textId="77777777" w:rsidTr="00D3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39C652F" w14:textId="77777777" w:rsidR="00401367" w:rsidRDefault="00401367" w:rsidP="009E0BD3">
            <w:r>
              <w:t>Incident Response Team Member</w:t>
            </w:r>
          </w:p>
        </w:tc>
        <w:tc>
          <w:tcPr>
            <w:tcW w:w="3510" w:type="dxa"/>
          </w:tcPr>
          <w:p w14:paraId="41E273F9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Reports to Incident Manager </w:t>
            </w:r>
          </w:p>
        </w:tc>
        <w:tc>
          <w:tcPr>
            <w:tcW w:w="1800" w:type="dxa"/>
          </w:tcPr>
          <w:p w14:paraId="2787DE44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Administrator, GIS Technician,</w:t>
            </w:r>
          </w:p>
        </w:tc>
        <w:tc>
          <w:tcPr>
            <w:tcW w:w="1710" w:type="dxa"/>
          </w:tcPr>
          <w:p w14:paraId="2266A322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Administrator, GIS Technician, E&amp;O technician</w:t>
            </w:r>
          </w:p>
        </w:tc>
      </w:tr>
      <w:tr w:rsidR="00401367" w14:paraId="524923EF" w14:textId="77777777" w:rsidTr="00D3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C44BE94" w14:textId="77777777" w:rsidR="00401367" w:rsidRDefault="00401367" w:rsidP="009E0BD3">
            <w:r>
              <w:t>CEO</w:t>
            </w:r>
          </w:p>
        </w:tc>
        <w:tc>
          <w:tcPr>
            <w:tcW w:w="3510" w:type="dxa"/>
          </w:tcPr>
          <w:p w14:paraId="74503204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management support</w:t>
            </w:r>
          </w:p>
        </w:tc>
        <w:tc>
          <w:tcPr>
            <w:tcW w:w="1800" w:type="dxa"/>
          </w:tcPr>
          <w:p w14:paraId="439BC634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A0F9161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367" w14:paraId="2644A99A" w14:textId="77777777" w:rsidTr="00D3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AF45EAA" w14:textId="77777777" w:rsidR="00401367" w:rsidRDefault="00401367" w:rsidP="009E0BD3">
            <w:r>
              <w:t>Legal Counsel</w:t>
            </w:r>
          </w:p>
        </w:tc>
        <w:tc>
          <w:tcPr>
            <w:tcW w:w="3510" w:type="dxa"/>
          </w:tcPr>
          <w:p w14:paraId="6BE08D9A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 legal support </w:t>
            </w:r>
          </w:p>
        </w:tc>
        <w:tc>
          <w:tcPr>
            <w:tcW w:w="1800" w:type="dxa"/>
          </w:tcPr>
          <w:p w14:paraId="20A531BA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C716BE2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1367" w14:paraId="5DF9C1D2" w14:textId="77777777" w:rsidTr="00D3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2B2D06" w14:textId="77777777" w:rsidR="00401367" w:rsidRDefault="00401367" w:rsidP="009E0BD3">
            <w:r>
              <w:t>External Communication</w:t>
            </w:r>
          </w:p>
        </w:tc>
        <w:tc>
          <w:tcPr>
            <w:tcW w:w="3510" w:type="dxa"/>
          </w:tcPr>
          <w:p w14:paraId="1A6AFBE0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Communicate with BOD, regulators, media</w:t>
            </w:r>
          </w:p>
        </w:tc>
        <w:tc>
          <w:tcPr>
            <w:tcW w:w="1800" w:type="dxa"/>
          </w:tcPr>
          <w:p w14:paraId="154D78CD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Relations or Marketing</w:t>
            </w:r>
          </w:p>
        </w:tc>
        <w:tc>
          <w:tcPr>
            <w:tcW w:w="1710" w:type="dxa"/>
          </w:tcPr>
          <w:p w14:paraId="581FFB55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1367" w14:paraId="31158937" w14:textId="77777777" w:rsidTr="00D3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18D7C3D" w14:textId="77777777" w:rsidR="00401367" w:rsidRDefault="00401367" w:rsidP="009E0BD3">
            <w:r>
              <w:t>Logistics</w:t>
            </w:r>
          </w:p>
        </w:tc>
        <w:tc>
          <w:tcPr>
            <w:tcW w:w="3510" w:type="dxa"/>
          </w:tcPr>
          <w:p w14:paraId="3BE42007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 logistic support for longer incidents </w:t>
            </w:r>
          </w:p>
        </w:tc>
        <w:tc>
          <w:tcPr>
            <w:tcW w:w="1800" w:type="dxa"/>
          </w:tcPr>
          <w:p w14:paraId="39AD8DA7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Clerical or administrative employees</w:t>
            </w:r>
          </w:p>
        </w:tc>
        <w:tc>
          <w:tcPr>
            <w:tcW w:w="1710" w:type="dxa"/>
          </w:tcPr>
          <w:p w14:paraId="522002BA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3DCF2F" w14:textId="77777777" w:rsidR="00401367" w:rsidRDefault="00401367" w:rsidP="009E0BD3"/>
    <w:p w14:paraId="38420D80" w14:textId="77777777" w:rsidR="00401367" w:rsidRDefault="00401367" w:rsidP="00A90792">
      <w:pPr>
        <w:pStyle w:val="Heading2"/>
        <w:ind w:left="1080" w:hanging="720"/>
      </w:pPr>
      <w:r>
        <w:t>Contact List and Tools</w:t>
      </w:r>
    </w:p>
    <w:p w14:paraId="590CAFA8" w14:textId="77777777" w:rsidR="00401367" w:rsidRDefault="00401367" w:rsidP="00DA6097">
      <w:pPr>
        <w:ind w:left="1080"/>
      </w:pPr>
      <w:r>
        <w:t>(</w:t>
      </w:r>
      <w:r w:rsidRPr="00871AAD">
        <w:t>Information Security Response Plan - Forms Examples</w:t>
      </w:r>
      <w:r>
        <w:t>)</w:t>
      </w:r>
    </w:p>
    <w:p w14:paraId="56BB96CC" w14:textId="77777777" w:rsidR="00401367" w:rsidRPr="00A90792" w:rsidRDefault="00401367" w:rsidP="00A90792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A90792">
        <w:rPr>
          <w:rFonts w:asciiTheme="minorHAnsi" w:hAnsiTheme="minorHAnsi" w:cstheme="minorHAnsi"/>
          <w:color w:val="auto"/>
          <w:sz w:val="22"/>
          <w:szCs w:val="22"/>
        </w:rPr>
        <w:t xml:space="preserve">Internal contact list </w:t>
      </w:r>
    </w:p>
    <w:p w14:paraId="7594F6FC" w14:textId="77777777" w:rsidR="00401367" w:rsidRDefault="00401367" w:rsidP="00A90792">
      <w:pPr>
        <w:ind w:left="1080"/>
      </w:pPr>
      <w:r>
        <w:t>Internal contact list shows who should be notified internally in case of an incident.</w:t>
      </w:r>
    </w:p>
    <w:p w14:paraId="6ED40A72" w14:textId="51AA5808" w:rsidR="00401367" w:rsidRDefault="00401367" w:rsidP="00A90792">
      <w:pPr>
        <w:ind w:left="1080"/>
      </w:pPr>
    </w:p>
    <w:p w14:paraId="57A19CA4" w14:textId="77777777" w:rsidR="00401367" w:rsidRPr="00A90792" w:rsidRDefault="00401367" w:rsidP="00A90792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A90792">
        <w:rPr>
          <w:rFonts w:asciiTheme="minorHAnsi" w:hAnsiTheme="minorHAnsi" w:cstheme="minorHAnsi"/>
          <w:color w:val="auto"/>
          <w:sz w:val="22"/>
          <w:szCs w:val="22"/>
        </w:rPr>
        <w:t>External contact list</w:t>
      </w:r>
    </w:p>
    <w:p w14:paraId="6E0328B3" w14:textId="77777777" w:rsidR="00401367" w:rsidRDefault="00401367" w:rsidP="00A90792">
      <w:pPr>
        <w:ind w:left="1080"/>
      </w:pPr>
      <w:r>
        <w:t>External contact list shows who should be notified externally in case of an incident.</w:t>
      </w:r>
    </w:p>
    <w:p w14:paraId="0A3D552A" w14:textId="17586126" w:rsidR="00401367" w:rsidRDefault="00401367" w:rsidP="00A90792">
      <w:pPr>
        <w:ind w:left="1080"/>
      </w:pPr>
    </w:p>
    <w:p w14:paraId="6DF8E2BA" w14:textId="77777777" w:rsidR="00401367" w:rsidRPr="00A90792" w:rsidRDefault="00401367" w:rsidP="00A90792">
      <w:pPr>
        <w:pStyle w:val="Heading3"/>
        <w:ind w:left="1800"/>
        <w:rPr>
          <w:rFonts w:asciiTheme="minorHAnsi" w:hAnsiTheme="minorHAnsi" w:cstheme="minorHAnsi"/>
          <w:color w:val="auto"/>
          <w:sz w:val="22"/>
          <w:szCs w:val="22"/>
        </w:rPr>
      </w:pPr>
      <w:r w:rsidRPr="00A90792">
        <w:rPr>
          <w:rFonts w:asciiTheme="minorHAnsi" w:hAnsiTheme="minorHAnsi" w:cstheme="minorHAnsi"/>
          <w:color w:val="auto"/>
          <w:sz w:val="22"/>
          <w:szCs w:val="22"/>
        </w:rPr>
        <w:t>Tools</w:t>
      </w:r>
    </w:p>
    <w:p w14:paraId="001EFBCD" w14:textId="77777777" w:rsidR="00401367" w:rsidRDefault="00401367" w:rsidP="00A90792">
      <w:pPr>
        <w:ind w:left="1080"/>
      </w:pPr>
      <w:r>
        <w:t>Effective response to incident requires preparing OS images, spare hardware, etc.</w:t>
      </w:r>
    </w:p>
    <w:p w14:paraId="26BAC221" w14:textId="77777777" w:rsidR="00401367" w:rsidRDefault="00401367" w:rsidP="00A90792">
      <w:pPr>
        <w:pStyle w:val="Heading2"/>
        <w:ind w:left="1080" w:hanging="720"/>
      </w:pPr>
      <w:r>
        <w:t xml:space="preserve">Incident Response </w:t>
      </w:r>
      <w:r w:rsidRPr="00030562">
        <w:t>Improvements</w:t>
      </w:r>
    </w:p>
    <w:p w14:paraId="65B6241C" w14:textId="77777777" w:rsidR="00401367" w:rsidRDefault="00401367" w:rsidP="00A90792">
      <w:pPr>
        <w:ind w:left="360"/>
      </w:pPr>
      <w:r>
        <w:t xml:space="preserve">On quarterly basis, the Incident Response Team should review response to one of the threats listed in risk register or one the scenarios included in document </w:t>
      </w:r>
      <w:r w:rsidRPr="009F5C01">
        <w:rPr>
          <w:i/>
        </w:rPr>
        <w:t>Incident Examples</w:t>
      </w:r>
      <w:r>
        <w:t>.</w:t>
      </w:r>
      <w:r>
        <w:br/>
        <w:t>The goal of this exercise is to review existing documentation and create more detailed procedures, if needed.</w:t>
      </w:r>
    </w:p>
    <w:p w14:paraId="179421E3" w14:textId="77777777" w:rsidR="00401367" w:rsidRDefault="00401367" w:rsidP="00A90792">
      <w:pPr>
        <w:pStyle w:val="Heading2"/>
        <w:ind w:left="1080" w:hanging="720"/>
      </w:pPr>
      <w:r>
        <w:lastRenderedPageBreak/>
        <w:t xml:space="preserve">Table Top </w:t>
      </w:r>
      <w:r w:rsidRPr="00030562">
        <w:t>Exercises</w:t>
      </w:r>
    </w:p>
    <w:p w14:paraId="28E4C188" w14:textId="368C7760" w:rsidR="00401367" w:rsidRPr="00A30F84" w:rsidRDefault="00401367" w:rsidP="00A90792">
      <w:pPr>
        <w:ind w:left="360"/>
      </w:pPr>
      <w:r>
        <w:t xml:space="preserve">On annual basis, </w:t>
      </w:r>
      <w:r w:rsidR="003D52F4">
        <w:rPr>
          <w:b/>
          <w:color w:val="FF0000"/>
        </w:rPr>
        <w:t>&lt;Utility Name&gt;</w:t>
      </w:r>
      <w:r>
        <w:rPr>
          <w:b/>
          <w:color w:val="FF0000"/>
        </w:rPr>
        <w:t xml:space="preserve"> </w:t>
      </w:r>
      <w:r w:rsidRPr="00DA6097">
        <w:rPr>
          <w:color w:val="000000" w:themeColor="text1"/>
        </w:rPr>
        <w:t>should</w:t>
      </w:r>
      <w:r w:rsidRPr="00DA6097">
        <w:rPr>
          <w:b/>
          <w:color w:val="000000" w:themeColor="text1"/>
        </w:rPr>
        <w:t xml:space="preserve"> </w:t>
      </w:r>
      <w:r>
        <w:t>conduct a Table Top Exercise (TTE) to review Emergency Restoration Plan and Information Security Incident Response Plan.</w:t>
      </w:r>
    </w:p>
    <w:p w14:paraId="6AE13D7E" w14:textId="77777777" w:rsidR="00401367" w:rsidRDefault="00401367" w:rsidP="00A90792">
      <w:pPr>
        <w:pStyle w:val="Heading1"/>
        <w:ind w:left="360" w:hanging="360"/>
      </w:pPr>
      <w:r>
        <w:t xml:space="preserve">Incident Detection and </w:t>
      </w:r>
      <w:r w:rsidRPr="00030562">
        <w:t>Analysis</w:t>
      </w:r>
    </w:p>
    <w:p w14:paraId="5E0108BA" w14:textId="4168380A" w:rsidR="00401367" w:rsidRDefault="00401367" w:rsidP="00030562">
      <w:r>
        <w:t xml:space="preserve">All </w:t>
      </w:r>
      <w:r w:rsidR="003D52F4">
        <w:rPr>
          <w:b/>
          <w:color w:val="FF0000"/>
        </w:rPr>
        <w:t>&lt;Utility Name&gt;</w:t>
      </w:r>
      <w:r>
        <w:t xml:space="preserve"> employee shall report suspicious activities related to information technology. </w:t>
      </w:r>
    </w:p>
    <w:p w14:paraId="68B8AE72" w14:textId="77777777" w:rsidR="00401367" w:rsidRDefault="00401367" w:rsidP="00030562">
      <w:r>
        <w:t>Incident indication may also come from local monitoring systems (SIEM, file integrity monitoring) or from external sources.</w:t>
      </w:r>
    </w:p>
    <w:p w14:paraId="10093451" w14:textId="77777777" w:rsidR="00401367" w:rsidRDefault="00401367" w:rsidP="00030562">
      <w:r>
        <w:t xml:space="preserve"> Reports should be submitted to the Incident Manager, who will use the </w:t>
      </w:r>
      <w:r w:rsidRPr="009F5C01">
        <w:rPr>
          <w:i/>
        </w:rPr>
        <w:t>Information Security Incident Response Form</w:t>
      </w:r>
      <w:r>
        <w:rPr>
          <w:b/>
          <w:i/>
        </w:rPr>
        <w:t>,</w:t>
      </w:r>
      <w:r>
        <w:t xml:space="preserve"> and analyze the incident.</w:t>
      </w:r>
    </w:p>
    <w:p w14:paraId="4C28C64A" w14:textId="77777777" w:rsidR="00401367" w:rsidRDefault="00401367" w:rsidP="00030562">
      <w:r>
        <w:t>Incident analysis factors:</w:t>
      </w:r>
    </w:p>
    <w:p w14:paraId="534BEDEE" w14:textId="64C206ED" w:rsidR="00401367" w:rsidRDefault="00401367" w:rsidP="009333B8">
      <w:pPr>
        <w:pStyle w:val="ListParagraph"/>
        <w:numPr>
          <w:ilvl w:val="0"/>
          <w:numId w:val="138"/>
        </w:numPr>
        <w:ind w:left="1260"/>
      </w:pPr>
      <w:r>
        <w:t>Sensitivity classification of involved data: Public, Internal, Sensitive, Confidential or Regulated</w:t>
      </w:r>
    </w:p>
    <w:p w14:paraId="22F3B6A1" w14:textId="02909947" w:rsidR="00401367" w:rsidRDefault="00401367" w:rsidP="009333B8">
      <w:pPr>
        <w:pStyle w:val="ListParagraph"/>
        <w:numPr>
          <w:ilvl w:val="0"/>
          <w:numId w:val="138"/>
        </w:numPr>
        <w:ind w:left="1260"/>
      </w:pPr>
      <w:r>
        <w:t xml:space="preserve">Availability classification of involved data: Supportive, Priority or Critical </w:t>
      </w:r>
    </w:p>
    <w:p w14:paraId="7AB1F8EE" w14:textId="77777777" w:rsidR="00401367" w:rsidRDefault="00401367" w:rsidP="009333B8">
      <w:pPr>
        <w:pStyle w:val="ListParagraph"/>
        <w:numPr>
          <w:ilvl w:val="0"/>
          <w:numId w:val="138"/>
        </w:numPr>
        <w:ind w:left="1260"/>
      </w:pPr>
      <w:r>
        <w:t>What systems are affected by the incident?</w:t>
      </w:r>
    </w:p>
    <w:p w14:paraId="18A7B661" w14:textId="77777777" w:rsidR="00401367" w:rsidRDefault="00401367" w:rsidP="009333B8">
      <w:pPr>
        <w:pStyle w:val="ListParagraph"/>
        <w:numPr>
          <w:ilvl w:val="0"/>
          <w:numId w:val="138"/>
        </w:numPr>
        <w:ind w:left="1260"/>
      </w:pPr>
      <w:r>
        <w:t>How many computers are affected by the incident?</w:t>
      </w:r>
    </w:p>
    <w:p w14:paraId="750C5AB6" w14:textId="77777777" w:rsidR="00401367" w:rsidRDefault="00401367" w:rsidP="009333B8">
      <w:pPr>
        <w:pStyle w:val="ListParagraph"/>
        <w:numPr>
          <w:ilvl w:val="0"/>
          <w:numId w:val="138"/>
        </w:numPr>
        <w:ind w:left="1260"/>
      </w:pPr>
      <w:r>
        <w:t>What is potential damage caused by the incident?</w:t>
      </w:r>
    </w:p>
    <w:p w14:paraId="7600F026" w14:textId="77777777" w:rsidR="00401367" w:rsidRDefault="00401367" w:rsidP="009333B8">
      <w:pPr>
        <w:pStyle w:val="ListParagraph"/>
        <w:numPr>
          <w:ilvl w:val="0"/>
          <w:numId w:val="138"/>
        </w:numPr>
        <w:ind w:left="1260"/>
      </w:pPr>
      <w:r>
        <w:t>What is the estimated time to recover from the incident?</w:t>
      </w:r>
    </w:p>
    <w:p w14:paraId="1D09E1B6" w14:textId="77777777" w:rsidR="00401367" w:rsidRDefault="00401367" w:rsidP="00030562">
      <w:r>
        <w:t>By using these factors, the Incident Manager can determine incident impact:</w:t>
      </w:r>
    </w:p>
    <w:p w14:paraId="1F24B8FE" w14:textId="77777777" w:rsidR="00401367" w:rsidRDefault="00401367" w:rsidP="009333B8">
      <w:pPr>
        <w:pStyle w:val="ListParagraph"/>
        <w:numPr>
          <w:ilvl w:val="0"/>
          <w:numId w:val="143"/>
        </w:numPr>
        <w:ind w:left="1260"/>
      </w:pPr>
      <w:r>
        <w:t>Functional impact – how incident affected systems functionality</w:t>
      </w:r>
    </w:p>
    <w:p w14:paraId="5ED9B2C0" w14:textId="77777777" w:rsidR="00401367" w:rsidRDefault="00401367" w:rsidP="009333B8">
      <w:pPr>
        <w:pStyle w:val="ListParagraph"/>
        <w:numPr>
          <w:ilvl w:val="0"/>
          <w:numId w:val="143"/>
        </w:numPr>
        <w:ind w:left="1260"/>
      </w:pPr>
      <w:r>
        <w:t>Information impact – what information was accessed, modified, and/or deleted</w:t>
      </w:r>
    </w:p>
    <w:p w14:paraId="60AB5EB8" w14:textId="77777777" w:rsidR="00401367" w:rsidRDefault="00401367" w:rsidP="009333B8">
      <w:pPr>
        <w:pStyle w:val="ListParagraph"/>
        <w:numPr>
          <w:ilvl w:val="0"/>
          <w:numId w:val="143"/>
        </w:numPr>
        <w:ind w:left="1260"/>
      </w:pPr>
      <w:r>
        <w:t>Recoverability – how quickly systems can be recovered</w:t>
      </w:r>
    </w:p>
    <w:p w14:paraId="295D930F" w14:textId="77777777" w:rsidR="00401367" w:rsidRDefault="00401367" w:rsidP="00030562">
      <w:r>
        <w:t>Since during incident some information technology systems might be not available, this procedure and form should also be kept on mobile devices and as paper copy as well.</w:t>
      </w:r>
    </w:p>
    <w:p w14:paraId="05DF749A" w14:textId="77777777" w:rsidR="00401367" w:rsidRPr="00030562" w:rsidRDefault="00401367" w:rsidP="00030562">
      <w:pPr>
        <w:rPr>
          <w:i/>
          <w:color w:val="C00000"/>
        </w:rPr>
      </w:pPr>
      <w:r w:rsidRPr="00030562">
        <w:rPr>
          <w:i/>
          <w:color w:val="C00000"/>
        </w:rPr>
        <w:t>{The impact level of incident can be aligned with RUS Emergency Restoration Plan which uses the following levels: Catastrophic, Critical, Marginal, Insignificant or Remote}</w:t>
      </w:r>
    </w:p>
    <w:p w14:paraId="6888FCBA" w14:textId="77777777" w:rsidR="00401367" w:rsidRPr="009F5C01" w:rsidRDefault="00401367" w:rsidP="009E0BD3">
      <w:pPr>
        <w:rPr>
          <w:sz w:val="24"/>
          <w:szCs w:val="24"/>
        </w:rPr>
      </w:pPr>
      <w:r w:rsidRPr="009F5C01">
        <w:rPr>
          <w:b/>
          <w:bCs/>
          <w:sz w:val="24"/>
          <w:szCs w:val="24"/>
        </w:rPr>
        <w:t>Functional Impact Categories</w:t>
      </w:r>
    </w:p>
    <w:tbl>
      <w:tblPr>
        <w:tblW w:w="919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3"/>
        <w:gridCol w:w="3780"/>
        <w:gridCol w:w="4050"/>
      </w:tblGrid>
      <w:tr w:rsidR="00401367" w14:paraId="4D774C1B" w14:textId="77777777" w:rsidTr="009E0BD3">
        <w:trPr>
          <w:trHeight w:val="84"/>
        </w:trPr>
        <w:tc>
          <w:tcPr>
            <w:tcW w:w="1363" w:type="dxa"/>
            <w:shd w:val="clear" w:color="auto" w:fill="C8CAE7" w:themeFill="text2" w:themeFillTint="33"/>
          </w:tcPr>
          <w:p w14:paraId="6A546208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Category </w:t>
            </w:r>
          </w:p>
        </w:tc>
        <w:tc>
          <w:tcPr>
            <w:tcW w:w="3780" w:type="dxa"/>
            <w:shd w:val="clear" w:color="auto" w:fill="C8CAE7" w:themeFill="text2" w:themeFillTint="33"/>
          </w:tcPr>
          <w:p w14:paraId="4241AD6A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Definition </w:t>
            </w:r>
          </w:p>
        </w:tc>
        <w:tc>
          <w:tcPr>
            <w:tcW w:w="4050" w:type="dxa"/>
            <w:shd w:val="clear" w:color="auto" w:fill="C8CAE7" w:themeFill="text2" w:themeFillTint="33"/>
          </w:tcPr>
          <w:p w14:paraId="6CA6938C" w14:textId="77777777" w:rsidR="00401367" w:rsidRDefault="00401367" w:rsidP="009E0BD3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Examples</w:t>
            </w:r>
          </w:p>
        </w:tc>
      </w:tr>
      <w:tr w:rsidR="00401367" w14:paraId="21C7AECB" w14:textId="77777777" w:rsidTr="009E0BD3">
        <w:trPr>
          <w:trHeight w:val="84"/>
        </w:trPr>
        <w:tc>
          <w:tcPr>
            <w:tcW w:w="1363" w:type="dxa"/>
          </w:tcPr>
          <w:p w14:paraId="74AF9786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 </w:t>
            </w:r>
          </w:p>
        </w:tc>
        <w:tc>
          <w:tcPr>
            <w:tcW w:w="3780" w:type="dxa"/>
          </w:tcPr>
          <w:p w14:paraId="0F54E937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effect to the organization’s ability to provide all services to all users </w:t>
            </w:r>
          </w:p>
        </w:tc>
        <w:tc>
          <w:tcPr>
            <w:tcW w:w="4045" w:type="dxa"/>
          </w:tcPr>
          <w:p w14:paraId="4783AE6F" w14:textId="77777777" w:rsidR="00401367" w:rsidRDefault="00401367" w:rsidP="009333B8">
            <w:pPr>
              <w:pStyle w:val="Default"/>
              <w:numPr>
                <w:ilvl w:val="0"/>
                <w:numId w:val="13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computer affected by virus</w:t>
            </w:r>
          </w:p>
        </w:tc>
      </w:tr>
      <w:tr w:rsidR="00401367" w14:paraId="52A4FB19" w14:textId="77777777" w:rsidTr="009E0BD3">
        <w:trPr>
          <w:trHeight w:val="187"/>
        </w:trPr>
        <w:tc>
          <w:tcPr>
            <w:tcW w:w="1363" w:type="dxa"/>
          </w:tcPr>
          <w:p w14:paraId="04896CC1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Low </w:t>
            </w:r>
          </w:p>
        </w:tc>
        <w:tc>
          <w:tcPr>
            <w:tcW w:w="3780" w:type="dxa"/>
          </w:tcPr>
          <w:p w14:paraId="271DD4C6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Minimal effect; the organization can still provide all critical services to all users but has lost efficiency </w:t>
            </w:r>
          </w:p>
        </w:tc>
        <w:tc>
          <w:tcPr>
            <w:tcW w:w="4045" w:type="dxa"/>
          </w:tcPr>
          <w:p w14:paraId="3E786D4C" w14:textId="77777777" w:rsidR="00401367" w:rsidRDefault="00401367" w:rsidP="009333B8">
            <w:pPr>
              <w:pStyle w:val="Default"/>
              <w:numPr>
                <w:ilvl w:val="0"/>
                <w:numId w:val="13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 workstations affected by ransomware</w:t>
            </w:r>
          </w:p>
          <w:p w14:paraId="2D05CD62" w14:textId="77777777" w:rsidR="00401367" w:rsidRDefault="00401367" w:rsidP="009333B8">
            <w:pPr>
              <w:pStyle w:val="Default"/>
              <w:numPr>
                <w:ilvl w:val="0"/>
                <w:numId w:val="13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Several laptops were affected by virus</w:t>
            </w:r>
          </w:p>
        </w:tc>
      </w:tr>
      <w:tr w:rsidR="00401367" w14:paraId="309296CA" w14:textId="77777777" w:rsidTr="009E0BD3">
        <w:trPr>
          <w:trHeight w:val="84"/>
        </w:trPr>
        <w:tc>
          <w:tcPr>
            <w:tcW w:w="1363" w:type="dxa"/>
          </w:tcPr>
          <w:p w14:paraId="1E41C766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Medium </w:t>
            </w:r>
          </w:p>
        </w:tc>
        <w:tc>
          <w:tcPr>
            <w:tcW w:w="3780" w:type="dxa"/>
          </w:tcPr>
          <w:p w14:paraId="5C8B5B4F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Organization has lost the ability to provide a critical service to a subset of system users </w:t>
            </w:r>
          </w:p>
        </w:tc>
        <w:tc>
          <w:tcPr>
            <w:tcW w:w="4045" w:type="dxa"/>
          </w:tcPr>
          <w:p w14:paraId="693ADBEF" w14:textId="77777777" w:rsidR="00401367" w:rsidRDefault="00401367" w:rsidP="009333B8">
            <w:pPr>
              <w:pStyle w:val="Default"/>
              <w:numPr>
                <w:ilvl w:val="0"/>
                <w:numId w:val="14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GIS server affected by exploit, maps not updated</w:t>
            </w:r>
          </w:p>
          <w:p w14:paraId="121451CB" w14:textId="77777777" w:rsidR="00401367" w:rsidRDefault="00401367" w:rsidP="009333B8">
            <w:pPr>
              <w:pStyle w:val="Default"/>
              <w:numPr>
                <w:ilvl w:val="0"/>
                <w:numId w:val="14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AVL affected by DDoS, vehicle locations not updated</w:t>
            </w:r>
          </w:p>
        </w:tc>
      </w:tr>
      <w:tr w:rsidR="00401367" w14:paraId="1F84F3E2" w14:textId="77777777" w:rsidTr="009E0BD3">
        <w:trPr>
          <w:trHeight w:val="84"/>
        </w:trPr>
        <w:tc>
          <w:tcPr>
            <w:tcW w:w="1363" w:type="dxa"/>
          </w:tcPr>
          <w:p w14:paraId="02AF8626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High </w:t>
            </w:r>
          </w:p>
        </w:tc>
        <w:tc>
          <w:tcPr>
            <w:tcW w:w="3780" w:type="dxa"/>
          </w:tcPr>
          <w:p w14:paraId="22BA0D37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Organization is no longer able to provide some critical services to any users </w:t>
            </w:r>
          </w:p>
        </w:tc>
        <w:tc>
          <w:tcPr>
            <w:tcW w:w="4045" w:type="dxa"/>
          </w:tcPr>
          <w:p w14:paraId="5699AD4E" w14:textId="77777777" w:rsidR="00401367" w:rsidRDefault="00401367" w:rsidP="009333B8">
            <w:pPr>
              <w:pStyle w:val="Default"/>
              <w:numPr>
                <w:ilvl w:val="0"/>
                <w:numId w:val="1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OMS and AMI affected by APT</w:t>
            </w:r>
          </w:p>
          <w:p w14:paraId="609A6E43" w14:textId="77777777" w:rsidR="00401367" w:rsidRDefault="00401367" w:rsidP="009333B8">
            <w:pPr>
              <w:pStyle w:val="Default"/>
              <w:numPr>
                <w:ilvl w:val="0"/>
                <w:numId w:val="1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Firewall firmware was changed affecting communication with the Internet</w:t>
            </w:r>
          </w:p>
        </w:tc>
      </w:tr>
    </w:tbl>
    <w:p w14:paraId="18E1B17E" w14:textId="77777777" w:rsidR="00401367" w:rsidRPr="009F5C01" w:rsidRDefault="00401367" w:rsidP="009E0BD3">
      <w:pPr>
        <w:rPr>
          <w:sz w:val="24"/>
          <w:szCs w:val="24"/>
        </w:rPr>
      </w:pPr>
      <w:r w:rsidRPr="009F5C01">
        <w:rPr>
          <w:b/>
          <w:bCs/>
          <w:sz w:val="24"/>
          <w:szCs w:val="24"/>
        </w:rPr>
        <w:t>Information Impact Categories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3"/>
        <w:gridCol w:w="3780"/>
        <w:gridCol w:w="4140"/>
      </w:tblGrid>
      <w:tr w:rsidR="00401367" w14:paraId="1BC52BB8" w14:textId="77777777" w:rsidTr="009E0BD3">
        <w:trPr>
          <w:trHeight w:val="84"/>
        </w:trPr>
        <w:tc>
          <w:tcPr>
            <w:tcW w:w="1363" w:type="dxa"/>
            <w:shd w:val="clear" w:color="auto" w:fill="C8CAE7" w:themeFill="text2" w:themeFillTint="33"/>
          </w:tcPr>
          <w:p w14:paraId="2562E40D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Category </w:t>
            </w:r>
          </w:p>
        </w:tc>
        <w:tc>
          <w:tcPr>
            <w:tcW w:w="3780" w:type="dxa"/>
            <w:shd w:val="clear" w:color="auto" w:fill="C8CAE7" w:themeFill="text2" w:themeFillTint="33"/>
          </w:tcPr>
          <w:p w14:paraId="5DD37FD1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Definition </w:t>
            </w:r>
          </w:p>
        </w:tc>
        <w:tc>
          <w:tcPr>
            <w:tcW w:w="4140" w:type="dxa"/>
            <w:shd w:val="clear" w:color="auto" w:fill="C8CAE7" w:themeFill="text2" w:themeFillTint="33"/>
          </w:tcPr>
          <w:p w14:paraId="15DB5E81" w14:textId="77777777" w:rsidR="00401367" w:rsidRDefault="00401367" w:rsidP="009E0BD3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Examples</w:t>
            </w:r>
          </w:p>
        </w:tc>
      </w:tr>
      <w:tr w:rsidR="00401367" w14:paraId="585C728D" w14:textId="77777777" w:rsidTr="009E0BD3">
        <w:trPr>
          <w:trHeight w:val="84"/>
        </w:trPr>
        <w:tc>
          <w:tcPr>
            <w:tcW w:w="1363" w:type="dxa"/>
          </w:tcPr>
          <w:p w14:paraId="762AF5CD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None </w:t>
            </w:r>
          </w:p>
        </w:tc>
        <w:tc>
          <w:tcPr>
            <w:tcW w:w="3780" w:type="dxa"/>
          </w:tcPr>
          <w:p w14:paraId="6924B002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information was </w:t>
            </w:r>
            <w:proofErr w:type="spellStart"/>
            <w:r>
              <w:rPr>
                <w:sz w:val="18"/>
                <w:szCs w:val="18"/>
              </w:rPr>
              <w:t>exfiltrated</w:t>
            </w:r>
            <w:proofErr w:type="spellEnd"/>
            <w:r>
              <w:rPr>
                <w:sz w:val="18"/>
                <w:szCs w:val="18"/>
              </w:rPr>
              <w:t xml:space="preserve">, changed, deleted, or otherwise compromised </w:t>
            </w:r>
          </w:p>
        </w:tc>
        <w:tc>
          <w:tcPr>
            <w:tcW w:w="4140" w:type="dxa"/>
          </w:tcPr>
          <w:p w14:paraId="3F81245A" w14:textId="77777777" w:rsidR="00401367" w:rsidRDefault="00401367" w:rsidP="009333B8">
            <w:pPr>
              <w:pStyle w:val="Default"/>
              <w:numPr>
                <w:ilvl w:val="0"/>
                <w:numId w:val="1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computer affected by virus</w:t>
            </w:r>
          </w:p>
        </w:tc>
      </w:tr>
      <w:tr w:rsidR="00401367" w14:paraId="257E6C08" w14:textId="77777777" w:rsidTr="009E0BD3">
        <w:trPr>
          <w:trHeight w:val="187"/>
        </w:trPr>
        <w:tc>
          <w:tcPr>
            <w:tcW w:w="1363" w:type="dxa"/>
          </w:tcPr>
          <w:p w14:paraId="6DA36D9A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Privacy Breach </w:t>
            </w:r>
          </w:p>
        </w:tc>
        <w:tc>
          <w:tcPr>
            <w:tcW w:w="3780" w:type="dxa"/>
          </w:tcPr>
          <w:p w14:paraId="31B099BE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Sensitive personally identifiable information (PII) of Members or employees was accessed or </w:t>
            </w:r>
            <w:proofErr w:type="spellStart"/>
            <w:r>
              <w:rPr>
                <w:sz w:val="18"/>
                <w:szCs w:val="18"/>
              </w:rPr>
              <w:t>exfiltrated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140" w:type="dxa"/>
          </w:tcPr>
          <w:p w14:paraId="5F06DDF8" w14:textId="77777777" w:rsidR="00401367" w:rsidRDefault="00401367" w:rsidP="009333B8">
            <w:pPr>
              <w:pStyle w:val="Default"/>
              <w:numPr>
                <w:ilvl w:val="0"/>
                <w:numId w:val="1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Employees (PII) data was extracted and found on dark web</w:t>
            </w:r>
          </w:p>
        </w:tc>
      </w:tr>
      <w:tr w:rsidR="00401367" w14:paraId="498268F4" w14:textId="77777777" w:rsidTr="009E0BD3">
        <w:trPr>
          <w:trHeight w:val="187"/>
        </w:trPr>
        <w:tc>
          <w:tcPr>
            <w:tcW w:w="1363" w:type="dxa"/>
          </w:tcPr>
          <w:p w14:paraId="7E0328D3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Proprietary Breach </w:t>
            </w:r>
          </w:p>
        </w:tc>
        <w:tc>
          <w:tcPr>
            <w:tcW w:w="3780" w:type="dxa"/>
          </w:tcPr>
          <w:p w14:paraId="5A421026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Unclassified proprietary information, such as protected critical infrastructure information (PCII), was accessed or </w:t>
            </w:r>
            <w:proofErr w:type="spellStart"/>
            <w:r>
              <w:rPr>
                <w:sz w:val="18"/>
                <w:szCs w:val="18"/>
              </w:rPr>
              <w:t>exfiltrated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140" w:type="dxa"/>
          </w:tcPr>
          <w:p w14:paraId="3372786B" w14:textId="77777777" w:rsidR="00401367" w:rsidRDefault="00401367" w:rsidP="009333B8">
            <w:pPr>
              <w:pStyle w:val="Default"/>
              <w:numPr>
                <w:ilvl w:val="0"/>
                <w:numId w:val="1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Diagrams of fiber communication and substations was accessed  from IP address in Iran</w:t>
            </w:r>
          </w:p>
        </w:tc>
      </w:tr>
      <w:tr w:rsidR="00401367" w14:paraId="421254D5" w14:textId="77777777" w:rsidTr="009E0BD3">
        <w:trPr>
          <w:trHeight w:val="187"/>
        </w:trPr>
        <w:tc>
          <w:tcPr>
            <w:tcW w:w="1363" w:type="dxa"/>
          </w:tcPr>
          <w:p w14:paraId="2B012871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Integrity Loss </w:t>
            </w:r>
          </w:p>
        </w:tc>
        <w:tc>
          <w:tcPr>
            <w:tcW w:w="3780" w:type="dxa"/>
          </w:tcPr>
          <w:p w14:paraId="66793BAF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Sensitive or proprietary information was changed or deleted </w:t>
            </w:r>
          </w:p>
        </w:tc>
        <w:tc>
          <w:tcPr>
            <w:tcW w:w="4140" w:type="dxa"/>
          </w:tcPr>
          <w:p w14:paraId="53F39119" w14:textId="77777777" w:rsidR="00401367" w:rsidRDefault="00401367" w:rsidP="009333B8">
            <w:pPr>
              <w:pStyle w:val="Default"/>
              <w:numPr>
                <w:ilvl w:val="0"/>
                <w:numId w:val="1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with distribution lines protection settings were changed</w:t>
            </w:r>
          </w:p>
        </w:tc>
      </w:tr>
    </w:tbl>
    <w:p w14:paraId="544D46AB" w14:textId="77777777" w:rsidR="00401367" w:rsidRDefault="00401367" w:rsidP="009E0BD3"/>
    <w:p w14:paraId="339CFF6A" w14:textId="77777777" w:rsidR="00401367" w:rsidRPr="009F5C01" w:rsidRDefault="00401367" w:rsidP="009E0BD3">
      <w:pPr>
        <w:rPr>
          <w:sz w:val="24"/>
          <w:szCs w:val="24"/>
        </w:rPr>
      </w:pPr>
      <w:r w:rsidRPr="009F5C01">
        <w:rPr>
          <w:b/>
          <w:bCs/>
          <w:sz w:val="24"/>
          <w:szCs w:val="24"/>
        </w:rPr>
        <w:t>Recoverability Effort Categories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3690"/>
        <w:gridCol w:w="4140"/>
      </w:tblGrid>
      <w:tr w:rsidR="00401367" w14:paraId="0928FB08" w14:textId="77777777" w:rsidTr="009E0BD3">
        <w:trPr>
          <w:trHeight w:val="84"/>
        </w:trPr>
        <w:tc>
          <w:tcPr>
            <w:tcW w:w="1453" w:type="dxa"/>
            <w:shd w:val="clear" w:color="auto" w:fill="C8CAE7" w:themeFill="text2" w:themeFillTint="33"/>
          </w:tcPr>
          <w:p w14:paraId="28FF5190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Category </w:t>
            </w:r>
          </w:p>
        </w:tc>
        <w:tc>
          <w:tcPr>
            <w:tcW w:w="3690" w:type="dxa"/>
            <w:shd w:val="clear" w:color="auto" w:fill="C8CAE7" w:themeFill="text2" w:themeFillTint="33"/>
          </w:tcPr>
          <w:p w14:paraId="65E8C2CC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Definition </w:t>
            </w:r>
          </w:p>
        </w:tc>
        <w:tc>
          <w:tcPr>
            <w:tcW w:w="4140" w:type="dxa"/>
            <w:shd w:val="clear" w:color="auto" w:fill="C8CAE7" w:themeFill="text2" w:themeFillTint="33"/>
          </w:tcPr>
          <w:p w14:paraId="2D8602DF" w14:textId="77777777" w:rsidR="00401367" w:rsidRDefault="00401367" w:rsidP="009E0BD3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Examples</w:t>
            </w:r>
          </w:p>
        </w:tc>
      </w:tr>
      <w:tr w:rsidR="00401367" w14:paraId="7F8B2CDA" w14:textId="77777777" w:rsidTr="009E0BD3">
        <w:trPr>
          <w:trHeight w:val="84"/>
        </w:trPr>
        <w:tc>
          <w:tcPr>
            <w:tcW w:w="1453" w:type="dxa"/>
          </w:tcPr>
          <w:p w14:paraId="04332977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Regular </w:t>
            </w:r>
          </w:p>
        </w:tc>
        <w:tc>
          <w:tcPr>
            <w:tcW w:w="3690" w:type="dxa"/>
          </w:tcPr>
          <w:p w14:paraId="39CA7F9D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to recovery is predictable with existing resources, and will meet RTO</w:t>
            </w:r>
          </w:p>
        </w:tc>
        <w:tc>
          <w:tcPr>
            <w:tcW w:w="4140" w:type="dxa"/>
          </w:tcPr>
          <w:p w14:paraId="288E8B85" w14:textId="77777777" w:rsidR="00401367" w:rsidRDefault="00401367" w:rsidP="009333B8">
            <w:pPr>
              <w:pStyle w:val="Default"/>
              <w:numPr>
                <w:ilvl w:val="0"/>
                <w:numId w:val="1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Affected workstations will be restored in 4 hours</w:t>
            </w:r>
          </w:p>
        </w:tc>
      </w:tr>
      <w:tr w:rsidR="00401367" w14:paraId="5B699DE0" w14:textId="77777777" w:rsidTr="009E0BD3">
        <w:trPr>
          <w:trHeight w:val="84"/>
        </w:trPr>
        <w:tc>
          <w:tcPr>
            <w:tcW w:w="1453" w:type="dxa"/>
          </w:tcPr>
          <w:p w14:paraId="1944A899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Supplemented </w:t>
            </w:r>
          </w:p>
        </w:tc>
        <w:tc>
          <w:tcPr>
            <w:tcW w:w="3690" w:type="dxa"/>
          </w:tcPr>
          <w:p w14:paraId="7A04C3BB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to recovery is predictable with additional resources and, will exceed RTO</w:t>
            </w:r>
          </w:p>
        </w:tc>
        <w:tc>
          <w:tcPr>
            <w:tcW w:w="4140" w:type="dxa"/>
          </w:tcPr>
          <w:p w14:paraId="23D5C815" w14:textId="77777777" w:rsidR="00401367" w:rsidRDefault="00401367" w:rsidP="009333B8">
            <w:pPr>
              <w:pStyle w:val="Default"/>
              <w:numPr>
                <w:ilvl w:val="0"/>
                <w:numId w:val="1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Restoring systems affected by ransomware require systems and application images</w:t>
            </w:r>
          </w:p>
        </w:tc>
      </w:tr>
      <w:tr w:rsidR="00401367" w14:paraId="1BDD14F8" w14:textId="77777777" w:rsidTr="009E0BD3">
        <w:trPr>
          <w:trHeight w:val="84"/>
        </w:trPr>
        <w:tc>
          <w:tcPr>
            <w:tcW w:w="1453" w:type="dxa"/>
          </w:tcPr>
          <w:p w14:paraId="7DDA88D1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Extended </w:t>
            </w:r>
          </w:p>
        </w:tc>
        <w:tc>
          <w:tcPr>
            <w:tcW w:w="3690" w:type="dxa"/>
          </w:tcPr>
          <w:p w14:paraId="43BFB016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 to recovery is unpredictable; additional resources and outside help are needed </w:t>
            </w:r>
          </w:p>
        </w:tc>
        <w:tc>
          <w:tcPr>
            <w:tcW w:w="4140" w:type="dxa"/>
          </w:tcPr>
          <w:p w14:paraId="2BD32711" w14:textId="77777777" w:rsidR="00401367" w:rsidRDefault="00401367" w:rsidP="009333B8">
            <w:pPr>
              <w:pStyle w:val="Default"/>
              <w:numPr>
                <w:ilvl w:val="0"/>
                <w:numId w:val="1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Repeated DDoS require ISP support and changing DNS pointers</w:t>
            </w:r>
          </w:p>
          <w:p w14:paraId="5E8E804E" w14:textId="77777777" w:rsidR="00401367" w:rsidRDefault="00401367" w:rsidP="009333B8">
            <w:pPr>
              <w:pStyle w:val="Default"/>
              <w:numPr>
                <w:ilvl w:val="0"/>
                <w:numId w:val="1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vendor assistance is require in restoring OMS</w:t>
            </w:r>
          </w:p>
        </w:tc>
      </w:tr>
      <w:tr w:rsidR="00401367" w14:paraId="1D7ADD93" w14:textId="77777777" w:rsidTr="009E0BD3">
        <w:trPr>
          <w:trHeight w:val="187"/>
        </w:trPr>
        <w:tc>
          <w:tcPr>
            <w:tcW w:w="1453" w:type="dxa"/>
          </w:tcPr>
          <w:p w14:paraId="0B7A1F66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Recoverable </w:t>
            </w:r>
          </w:p>
        </w:tc>
        <w:tc>
          <w:tcPr>
            <w:tcW w:w="3690" w:type="dxa"/>
          </w:tcPr>
          <w:p w14:paraId="67135376" w14:textId="77777777" w:rsidR="00401367" w:rsidRDefault="00401367" w:rsidP="009E0BD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Recovery from the incident is not possible (e.g., sensitive data </w:t>
            </w:r>
            <w:proofErr w:type="spellStart"/>
            <w:r>
              <w:rPr>
                <w:sz w:val="18"/>
                <w:szCs w:val="18"/>
              </w:rPr>
              <w:t>exfiltrated</w:t>
            </w:r>
            <w:proofErr w:type="spellEnd"/>
            <w:r>
              <w:rPr>
                <w:sz w:val="18"/>
                <w:szCs w:val="18"/>
              </w:rPr>
              <w:t xml:space="preserve"> and posted publicly); launch investigation </w:t>
            </w:r>
          </w:p>
        </w:tc>
        <w:tc>
          <w:tcPr>
            <w:tcW w:w="4140" w:type="dxa"/>
          </w:tcPr>
          <w:p w14:paraId="6B75B3AD" w14:textId="77777777" w:rsidR="00401367" w:rsidRDefault="00401367" w:rsidP="009333B8">
            <w:pPr>
              <w:pStyle w:val="Default"/>
              <w:numPr>
                <w:ilvl w:val="0"/>
                <w:numId w:val="14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Member’s PII information published by hackers</w:t>
            </w:r>
          </w:p>
        </w:tc>
      </w:tr>
    </w:tbl>
    <w:p w14:paraId="0D930F45" w14:textId="77777777" w:rsidR="00401367" w:rsidRDefault="00401367" w:rsidP="00A90792">
      <w:pPr>
        <w:pStyle w:val="Heading1"/>
        <w:ind w:left="360" w:hanging="360"/>
      </w:pPr>
      <w:r w:rsidRPr="00030562">
        <w:t>Containment</w:t>
      </w:r>
      <w:r>
        <w:t xml:space="preserve">, Eradication and Recovery </w:t>
      </w:r>
    </w:p>
    <w:p w14:paraId="5DBD8CC0" w14:textId="77777777" w:rsidR="00401367" w:rsidRDefault="00401367" w:rsidP="00A90792">
      <w:pPr>
        <w:pStyle w:val="Heading2"/>
        <w:ind w:left="1080" w:hanging="720"/>
      </w:pPr>
      <w:r w:rsidRPr="00030562">
        <w:t>Containment</w:t>
      </w:r>
    </w:p>
    <w:p w14:paraId="4BCD94EA" w14:textId="77777777" w:rsidR="00401367" w:rsidRDefault="00401367" w:rsidP="00A90792">
      <w:pPr>
        <w:ind w:left="360"/>
      </w:pPr>
      <w:r>
        <w:t>The goal of the containment phase is to regain control by limiting the extent of the damage:</w:t>
      </w:r>
    </w:p>
    <w:p w14:paraId="28D6B5D1" w14:textId="77777777" w:rsidR="00401367" w:rsidRDefault="00401367" w:rsidP="009333B8">
      <w:pPr>
        <w:pStyle w:val="ListParagraph"/>
        <w:numPr>
          <w:ilvl w:val="0"/>
          <w:numId w:val="146"/>
        </w:numPr>
      </w:pPr>
      <w:r>
        <w:t>Consider isolating the compromised system(s)</w:t>
      </w:r>
    </w:p>
    <w:p w14:paraId="5009E07A" w14:textId="77777777" w:rsidR="00401367" w:rsidRDefault="00401367" w:rsidP="009333B8">
      <w:pPr>
        <w:pStyle w:val="ListParagraph"/>
        <w:numPr>
          <w:ilvl w:val="0"/>
          <w:numId w:val="146"/>
        </w:numPr>
      </w:pPr>
      <w:r>
        <w:t>Analyze business impact of isolating the compromised system(s)</w:t>
      </w:r>
    </w:p>
    <w:p w14:paraId="25F58216" w14:textId="77777777" w:rsidR="00401367" w:rsidRDefault="00401367" w:rsidP="009333B8">
      <w:pPr>
        <w:pStyle w:val="ListParagraph"/>
        <w:numPr>
          <w:ilvl w:val="0"/>
          <w:numId w:val="146"/>
        </w:numPr>
      </w:pPr>
      <w:r>
        <w:t>Prepare for isolation</w:t>
      </w:r>
    </w:p>
    <w:p w14:paraId="568C50B2" w14:textId="77777777" w:rsidR="00401367" w:rsidRPr="003B354E" w:rsidRDefault="00401367" w:rsidP="009333B8">
      <w:pPr>
        <w:pStyle w:val="ListParagraph"/>
        <w:numPr>
          <w:ilvl w:val="0"/>
          <w:numId w:val="146"/>
        </w:numPr>
      </w:pPr>
      <w:r>
        <w:t>Perform isolation and make system backup, if possible</w:t>
      </w:r>
    </w:p>
    <w:p w14:paraId="60009A2C" w14:textId="77777777" w:rsidR="00401367" w:rsidRDefault="00401367" w:rsidP="00A90792">
      <w:pPr>
        <w:pStyle w:val="Heading2"/>
        <w:ind w:left="1080" w:hanging="720"/>
      </w:pPr>
      <w:r w:rsidRPr="00030562">
        <w:t>Eradication</w:t>
      </w:r>
    </w:p>
    <w:p w14:paraId="12277E34" w14:textId="77777777" w:rsidR="00401367" w:rsidRDefault="00401367" w:rsidP="00A90792">
      <w:pPr>
        <w:ind w:left="360"/>
      </w:pPr>
      <w:r>
        <w:t>The goal of eradication phase is removing elements of the threat from the systems and networks:</w:t>
      </w:r>
    </w:p>
    <w:p w14:paraId="102139CE" w14:textId="77777777" w:rsidR="00401367" w:rsidRDefault="00401367" w:rsidP="009333B8">
      <w:pPr>
        <w:pStyle w:val="ListParagraph"/>
        <w:numPr>
          <w:ilvl w:val="0"/>
          <w:numId w:val="147"/>
        </w:numPr>
      </w:pPr>
      <w:r>
        <w:t>Consider reloading operating systems and applications</w:t>
      </w:r>
    </w:p>
    <w:p w14:paraId="65B34E0E" w14:textId="77777777" w:rsidR="00401367" w:rsidRDefault="00401367" w:rsidP="009333B8">
      <w:pPr>
        <w:pStyle w:val="ListParagraph"/>
        <w:numPr>
          <w:ilvl w:val="0"/>
          <w:numId w:val="147"/>
        </w:numPr>
      </w:pPr>
      <w:r>
        <w:t xml:space="preserve">Applying latest patches </w:t>
      </w:r>
    </w:p>
    <w:p w14:paraId="2AC64E19" w14:textId="77777777" w:rsidR="00401367" w:rsidRDefault="00401367" w:rsidP="009333B8">
      <w:pPr>
        <w:pStyle w:val="ListParagraph"/>
        <w:numPr>
          <w:ilvl w:val="0"/>
          <w:numId w:val="147"/>
        </w:numPr>
      </w:pPr>
      <w:r>
        <w:t>Disabling unnecessary services</w:t>
      </w:r>
    </w:p>
    <w:p w14:paraId="14AED4D9" w14:textId="77777777" w:rsidR="00401367" w:rsidRDefault="00401367" w:rsidP="009333B8">
      <w:pPr>
        <w:pStyle w:val="ListParagraph"/>
        <w:numPr>
          <w:ilvl w:val="0"/>
          <w:numId w:val="147"/>
        </w:numPr>
      </w:pPr>
      <w:r>
        <w:t>Consider activating additional monitoring features</w:t>
      </w:r>
    </w:p>
    <w:p w14:paraId="1228526A" w14:textId="77777777" w:rsidR="00401367" w:rsidRPr="00FF71D3" w:rsidRDefault="00401367" w:rsidP="009333B8">
      <w:pPr>
        <w:pStyle w:val="ListParagraph"/>
        <w:numPr>
          <w:ilvl w:val="0"/>
          <w:numId w:val="147"/>
        </w:numPr>
      </w:pPr>
      <w:r>
        <w:t>Validating completion of eradication phase</w:t>
      </w:r>
    </w:p>
    <w:p w14:paraId="2FEE6E39" w14:textId="77777777" w:rsidR="00401367" w:rsidRDefault="00401367" w:rsidP="00A90792">
      <w:pPr>
        <w:pStyle w:val="Heading2"/>
        <w:ind w:left="1080" w:hanging="720"/>
      </w:pPr>
      <w:r w:rsidRPr="00030562">
        <w:t>Recovery</w:t>
      </w:r>
    </w:p>
    <w:p w14:paraId="69073FA5" w14:textId="77777777" w:rsidR="00401367" w:rsidRDefault="00401367" w:rsidP="00A90792">
      <w:pPr>
        <w:ind w:left="360"/>
      </w:pPr>
      <w:r>
        <w:t>The goal of recovery phase is to return all systems to original functionality</w:t>
      </w:r>
      <w:proofErr w:type="gramStart"/>
      <w:r>
        <w:t>:</w:t>
      </w:r>
      <w:proofErr w:type="gramEnd"/>
      <w:r>
        <w:br/>
      </w:r>
      <w:r w:rsidRPr="00030562">
        <w:rPr>
          <w:i/>
        </w:rPr>
        <w:t>{Some Coops may use Emergency Recovery Plan for recovering specific systems such as phone switch, Outage Management System, UPN, GIS, etc.}</w:t>
      </w:r>
    </w:p>
    <w:p w14:paraId="56218CF5" w14:textId="77777777" w:rsidR="00401367" w:rsidRDefault="00401367" w:rsidP="009333B8">
      <w:pPr>
        <w:pStyle w:val="ListParagraph"/>
        <w:numPr>
          <w:ilvl w:val="0"/>
          <w:numId w:val="148"/>
        </w:numPr>
      </w:pPr>
      <w:r>
        <w:t>Consider restoring system(s) from latest pre-incident backup</w:t>
      </w:r>
    </w:p>
    <w:p w14:paraId="6029820C" w14:textId="77777777" w:rsidR="00401367" w:rsidRDefault="00401367" w:rsidP="009333B8">
      <w:pPr>
        <w:pStyle w:val="ListParagraph"/>
        <w:numPr>
          <w:ilvl w:val="0"/>
          <w:numId w:val="148"/>
        </w:numPr>
      </w:pPr>
      <w:r>
        <w:t>Estimate data loss and verify RPO</w:t>
      </w:r>
    </w:p>
    <w:p w14:paraId="336EE78B" w14:textId="77777777" w:rsidR="00401367" w:rsidRPr="00384227" w:rsidRDefault="00401367" w:rsidP="009333B8">
      <w:pPr>
        <w:pStyle w:val="ListParagraph"/>
        <w:numPr>
          <w:ilvl w:val="0"/>
          <w:numId w:val="148"/>
        </w:numPr>
      </w:pPr>
      <w:r>
        <w:t>Prepare plan for handling data loss (credit card transaction, outage information, AMI readings, emails)</w:t>
      </w:r>
    </w:p>
    <w:p w14:paraId="40B58987" w14:textId="77777777" w:rsidR="00401367" w:rsidRDefault="00401367" w:rsidP="00A90792">
      <w:pPr>
        <w:pStyle w:val="Heading1"/>
        <w:ind w:left="360" w:hanging="360"/>
      </w:pPr>
      <w:r>
        <w:t xml:space="preserve">Post Incident </w:t>
      </w:r>
      <w:r w:rsidRPr="00030562">
        <w:t>Analysis</w:t>
      </w:r>
      <w:r>
        <w:t xml:space="preserve"> &amp; Forensic</w:t>
      </w:r>
    </w:p>
    <w:p w14:paraId="0F69C534" w14:textId="77777777" w:rsidR="00401367" w:rsidRPr="00A009A1" w:rsidRDefault="00401367" w:rsidP="00030562">
      <w:r>
        <w:t>The objective of a post incident analysis is to perform a detailed investigation of the incident, to devise approaches for prevention of similar incidents in the future.</w:t>
      </w:r>
      <w:r>
        <w:br/>
      </w:r>
      <w:r>
        <w:br/>
        <w:t>Consider using the following options: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1586"/>
        <w:gridCol w:w="2853"/>
        <w:gridCol w:w="2590"/>
        <w:gridCol w:w="2321"/>
      </w:tblGrid>
      <w:tr w:rsidR="00401367" w14:paraId="49B88121" w14:textId="77777777" w:rsidTr="00D3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7BF2877" w14:textId="77777777" w:rsidR="00401367" w:rsidRDefault="00401367" w:rsidP="009E0BD3"/>
        </w:tc>
        <w:tc>
          <w:tcPr>
            <w:tcW w:w="2970" w:type="dxa"/>
          </w:tcPr>
          <w:p w14:paraId="2B804F7F" w14:textId="77777777" w:rsidR="00401367" w:rsidRDefault="00401367" w:rsidP="009E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In-house</w:t>
            </w:r>
          </w:p>
        </w:tc>
        <w:tc>
          <w:tcPr>
            <w:tcW w:w="2664" w:type="dxa"/>
          </w:tcPr>
          <w:p w14:paraId="7476950C" w14:textId="77777777" w:rsidR="00401367" w:rsidRDefault="00401367" w:rsidP="009E0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Law enforcement</w:t>
            </w:r>
          </w:p>
        </w:tc>
        <w:tc>
          <w:tcPr>
            <w:tcW w:w="2394" w:type="dxa"/>
          </w:tcPr>
          <w:p w14:paraId="0440EC5E" w14:textId="77777777" w:rsidR="00401367" w:rsidRDefault="00401367" w:rsidP="009E0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Forensics Company</w:t>
            </w:r>
          </w:p>
        </w:tc>
      </w:tr>
      <w:tr w:rsidR="00401367" w14:paraId="1A197BBF" w14:textId="77777777" w:rsidTr="00D3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63EA48E" w14:textId="77777777" w:rsidR="00401367" w:rsidRDefault="00401367" w:rsidP="009E0BD3">
            <w:r>
              <w:t>Cost</w:t>
            </w:r>
          </w:p>
        </w:tc>
        <w:tc>
          <w:tcPr>
            <w:tcW w:w="2970" w:type="dxa"/>
          </w:tcPr>
          <w:p w14:paraId="6C3BC60F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Least expensive</w:t>
            </w:r>
          </w:p>
        </w:tc>
        <w:tc>
          <w:tcPr>
            <w:tcW w:w="2664" w:type="dxa"/>
          </w:tcPr>
          <w:p w14:paraId="4C2A0B8F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Expensive</w:t>
            </w:r>
          </w:p>
        </w:tc>
        <w:tc>
          <w:tcPr>
            <w:tcW w:w="2394" w:type="dxa"/>
          </w:tcPr>
          <w:p w14:paraId="040A4C30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expensive</w:t>
            </w:r>
          </w:p>
        </w:tc>
      </w:tr>
      <w:tr w:rsidR="00401367" w14:paraId="47201D18" w14:textId="77777777" w:rsidTr="00D3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EAD0B9A" w14:textId="77777777" w:rsidR="00401367" w:rsidRDefault="00401367" w:rsidP="009E0BD3">
            <w:r>
              <w:t>Response Time</w:t>
            </w:r>
          </w:p>
        </w:tc>
        <w:tc>
          <w:tcPr>
            <w:tcW w:w="2970" w:type="dxa"/>
          </w:tcPr>
          <w:p w14:paraId="2FA2FC25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Quick</w:t>
            </w:r>
          </w:p>
        </w:tc>
        <w:tc>
          <w:tcPr>
            <w:tcW w:w="2664" w:type="dxa"/>
          </w:tcPr>
          <w:p w14:paraId="1AAFF22F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be not available, could cause slow response time</w:t>
            </w:r>
          </w:p>
        </w:tc>
        <w:tc>
          <w:tcPr>
            <w:tcW w:w="2394" w:type="dxa"/>
          </w:tcPr>
          <w:p w14:paraId="6AEAA746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Quick response time</w:t>
            </w:r>
          </w:p>
        </w:tc>
      </w:tr>
      <w:tr w:rsidR="00401367" w14:paraId="0D3122C3" w14:textId="77777777" w:rsidTr="00D3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608F484" w14:textId="77777777" w:rsidR="00401367" w:rsidRDefault="00401367" w:rsidP="009E0BD3">
            <w:r>
              <w:t>Skills of investigators</w:t>
            </w:r>
          </w:p>
        </w:tc>
        <w:tc>
          <w:tcPr>
            <w:tcW w:w="2970" w:type="dxa"/>
          </w:tcPr>
          <w:p w14:paraId="10993AC8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not have the relevant skills</w:t>
            </w:r>
          </w:p>
        </w:tc>
        <w:tc>
          <w:tcPr>
            <w:tcW w:w="2664" w:type="dxa"/>
          </w:tcPr>
          <w:p w14:paraId="6170C16D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Dependent on the local law enforcement</w:t>
            </w:r>
          </w:p>
        </w:tc>
        <w:tc>
          <w:tcPr>
            <w:tcW w:w="2394" w:type="dxa"/>
          </w:tcPr>
          <w:p w14:paraId="3DB96A55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Skilled staff</w:t>
            </w:r>
          </w:p>
        </w:tc>
      </w:tr>
      <w:tr w:rsidR="00401367" w14:paraId="0C8DFCD1" w14:textId="77777777" w:rsidTr="00D34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10F4B30" w14:textId="77777777" w:rsidR="00401367" w:rsidRDefault="00401367" w:rsidP="009E0BD3">
            <w:r>
              <w:t>Preservation of evidence</w:t>
            </w:r>
          </w:p>
        </w:tc>
        <w:tc>
          <w:tcPr>
            <w:tcW w:w="2970" w:type="dxa"/>
          </w:tcPr>
          <w:p w14:paraId="32C43AB1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ensure evidence integrity</w:t>
            </w:r>
          </w:p>
        </w:tc>
        <w:tc>
          <w:tcPr>
            <w:tcW w:w="2664" w:type="dxa"/>
          </w:tcPr>
          <w:p w14:paraId="2D0C725E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Preserve evidence integrity, acceptable in court</w:t>
            </w:r>
          </w:p>
        </w:tc>
        <w:tc>
          <w:tcPr>
            <w:tcW w:w="2394" w:type="dxa"/>
          </w:tcPr>
          <w:p w14:paraId="518C405C" w14:textId="77777777" w:rsidR="00401367" w:rsidRDefault="00401367" w:rsidP="009E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Preserve evidence integrity, acceptable in court</w:t>
            </w:r>
          </w:p>
        </w:tc>
      </w:tr>
      <w:tr w:rsidR="00401367" w14:paraId="1A5DAD22" w14:textId="77777777" w:rsidTr="00D3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E2886E9" w14:textId="77777777" w:rsidR="00401367" w:rsidRDefault="00401367" w:rsidP="009E0BD3">
            <w:r>
              <w:t>Reputation impact</w:t>
            </w:r>
          </w:p>
        </w:tc>
        <w:tc>
          <w:tcPr>
            <w:tcW w:w="2970" w:type="dxa"/>
          </w:tcPr>
          <w:p w14:paraId="33CC8032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Minimal impact</w:t>
            </w:r>
          </w:p>
        </w:tc>
        <w:tc>
          <w:tcPr>
            <w:tcW w:w="2664" w:type="dxa"/>
          </w:tcPr>
          <w:p w14:paraId="475ED90D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Potential loss of reputation if certain incident reach the public</w:t>
            </w:r>
          </w:p>
        </w:tc>
        <w:tc>
          <w:tcPr>
            <w:tcW w:w="2394" w:type="dxa"/>
          </w:tcPr>
          <w:p w14:paraId="1CB9AE3A" w14:textId="77777777" w:rsidR="00401367" w:rsidRDefault="00401367" w:rsidP="009E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Potential loss of reputation if certain incident reach the public</w:t>
            </w:r>
          </w:p>
        </w:tc>
      </w:tr>
    </w:tbl>
    <w:p w14:paraId="16C79E76" w14:textId="77777777" w:rsidR="00401367" w:rsidRPr="00416385" w:rsidRDefault="00401367" w:rsidP="009E0BD3"/>
    <w:p w14:paraId="3DBBC06A" w14:textId="77777777" w:rsidR="00401367" w:rsidRPr="00CF575F" w:rsidRDefault="00401367" w:rsidP="00A90792">
      <w:pPr>
        <w:pStyle w:val="Heading1"/>
        <w:ind w:left="360" w:hanging="360"/>
      </w:pPr>
      <w:r w:rsidRPr="00CF575F">
        <w:t>Related Standards, Policies, and Processes</w:t>
      </w:r>
    </w:p>
    <w:p w14:paraId="66D17E98" w14:textId="2774942D" w:rsidR="00401367" w:rsidRPr="009F5C01" w:rsidRDefault="00401367" w:rsidP="00401367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PCI DSS Requirements </w:t>
      </w:r>
      <w:r>
        <w:br/>
      </w:r>
      <w:r w:rsidR="005D0C10">
        <w:rPr>
          <w:rFonts w:cstheme="minorHAnsi"/>
        </w:rPr>
        <w:t>(</w:t>
      </w:r>
      <w:hyperlink r:id="rId10" w:history="1">
        <w:r w:rsidR="00D343CA" w:rsidRPr="00A66525">
          <w:rPr>
            <w:rStyle w:val="Hyperlink"/>
            <w:rFonts w:cstheme="minorHAnsi"/>
          </w:rPr>
          <w:t>https://www.pcisecuritystandards.org/document_library</w:t>
        </w:r>
      </w:hyperlink>
      <w:r w:rsidR="00D343CA">
        <w:rPr>
          <w:rFonts w:cstheme="minorHAnsi"/>
        </w:rPr>
        <w:t xml:space="preserve">) </w:t>
      </w:r>
      <w:r>
        <w:rPr>
          <w:rStyle w:val="Hyperlink"/>
          <w:rFonts w:ascii="Segoe UI" w:hAnsi="Segoe UI" w:cs="Segoe UI"/>
          <w:sz w:val="20"/>
          <w:szCs w:val="20"/>
        </w:rPr>
        <w:br/>
      </w:r>
    </w:p>
    <w:p w14:paraId="0DF27021" w14:textId="62AD0CCC" w:rsidR="00401367" w:rsidRPr="00D70D3C" w:rsidRDefault="00D343CA" w:rsidP="00D343CA">
      <w:pPr>
        <w:pStyle w:val="ListParagraph"/>
        <w:numPr>
          <w:ilvl w:val="0"/>
          <w:numId w:val="4"/>
        </w:numPr>
      </w:pPr>
      <w:r>
        <w:rPr>
          <w:rStyle w:val="Hyperlink"/>
          <w:color w:val="auto"/>
          <w:u w:val="none"/>
        </w:rPr>
        <w:t>Adapted from NIST 800-61r2 – Computer Security Incident Handling Guide</w:t>
      </w:r>
      <w:r>
        <w:rPr>
          <w:rStyle w:val="Hyperlink"/>
        </w:rPr>
        <w:t xml:space="preserve"> </w:t>
      </w:r>
      <w:r w:rsidR="00401367">
        <w:rPr>
          <w:rStyle w:val="Hyperlink"/>
        </w:rPr>
        <w:br/>
      </w:r>
      <w:r w:rsidR="005D0C10">
        <w:rPr>
          <w:rFonts w:cstheme="minorHAnsi"/>
        </w:rPr>
        <w:t>(</w:t>
      </w:r>
      <w:hyperlink r:id="rId11" w:history="1">
        <w:r w:rsidRPr="00A66525">
          <w:rPr>
            <w:rStyle w:val="Hyperlink"/>
            <w:rFonts w:cstheme="minorHAnsi"/>
          </w:rPr>
          <w:t>http://nvlpubs.nist.gov/nistpubs/SpecialPublications/NIST.SP.800-61r2.pdf</w:t>
        </w:r>
      </w:hyperlink>
      <w:r>
        <w:rPr>
          <w:rFonts w:cstheme="minorHAnsi"/>
        </w:rPr>
        <w:t xml:space="preserve">) </w:t>
      </w:r>
    </w:p>
    <w:p w14:paraId="28C44C79" w14:textId="0D328651" w:rsidR="00997A10" w:rsidRDefault="00997A10">
      <w:r>
        <w:br w:type="page"/>
      </w:r>
    </w:p>
    <w:p w14:paraId="0DB6976D" w14:textId="77777777" w:rsidR="00401367" w:rsidRPr="00CF575F" w:rsidRDefault="00401367" w:rsidP="00A90792">
      <w:pPr>
        <w:pStyle w:val="Heading1"/>
        <w:ind w:left="360" w:hanging="360"/>
      </w:pPr>
      <w:bookmarkStart w:id="2" w:name="_GoBack"/>
      <w:bookmarkEnd w:id="2"/>
      <w:r w:rsidRPr="00CF575F">
        <w:t>Governance Responsibilities</w:t>
      </w:r>
    </w:p>
    <w:p w14:paraId="30DBDF6E" w14:textId="1D38912E" w:rsidR="00401367" w:rsidRPr="00CE5F93" w:rsidRDefault="00020620" w:rsidP="009E0BD3">
      <w:r>
        <w:t>The ISP uses the RACI model for assigning responsibility.</w:t>
      </w:r>
    </w:p>
    <w:tbl>
      <w:tblPr>
        <w:tblStyle w:val="GridTable4-Accent21"/>
        <w:tblW w:w="8850" w:type="dxa"/>
        <w:tblLook w:val="04A0" w:firstRow="1" w:lastRow="0" w:firstColumn="1" w:lastColumn="0" w:noHBand="0" w:noVBand="1"/>
      </w:tblPr>
      <w:tblGrid>
        <w:gridCol w:w="2212"/>
        <w:gridCol w:w="2212"/>
        <w:gridCol w:w="2213"/>
        <w:gridCol w:w="2213"/>
      </w:tblGrid>
      <w:tr w:rsidR="00401367" w14:paraId="51D84449" w14:textId="77777777" w:rsidTr="00D3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E174697" w14:textId="77777777" w:rsidR="00401367" w:rsidRDefault="00401367" w:rsidP="009E0BD3">
            <w:pPr>
              <w:jc w:val="center"/>
            </w:pPr>
            <w:r w:rsidRPr="0098428F">
              <w:rPr>
                <w:b w:val="0"/>
              </w:rPr>
              <w:t>Responsible</w:t>
            </w:r>
          </w:p>
        </w:tc>
        <w:tc>
          <w:tcPr>
            <w:tcW w:w="2212" w:type="dxa"/>
          </w:tcPr>
          <w:p w14:paraId="5DFC0192" w14:textId="77777777" w:rsidR="00401367" w:rsidRDefault="00401367" w:rsidP="009E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Accountable</w:t>
            </w:r>
          </w:p>
        </w:tc>
        <w:tc>
          <w:tcPr>
            <w:tcW w:w="2213" w:type="dxa"/>
          </w:tcPr>
          <w:p w14:paraId="27D51B7A" w14:textId="77777777" w:rsidR="00401367" w:rsidRDefault="00401367" w:rsidP="009E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Consulted</w:t>
            </w:r>
          </w:p>
        </w:tc>
        <w:tc>
          <w:tcPr>
            <w:tcW w:w="2213" w:type="dxa"/>
          </w:tcPr>
          <w:p w14:paraId="358BDE34" w14:textId="77777777" w:rsidR="00401367" w:rsidRDefault="00401367" w:rsidP="009E0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Informed</w:t>
            </w:r>
          </w:p>
        </w:tc>
      </w:tr>
      <w:tr w:rsidR="00401367" w14:paraId="0D9A0638" w14:textId="77777777" w:rsidTr="00D3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0C084BA" w14:textId="77777777" w:rsidR="00401367" w:rsidRDefault="00030562" w:rsidP="009E0BD3">
            <w:pPr>
              <w:jc w:val="center"/>
            </w:pPr>
            <w:r>
              <w:br/>
              <w:t>IT Manager</w:t>
            </w:r>
            <w:r w:rsidR="00401367">
              <w:br/>
            </w:r>
          </w:p>
        </w:tc>
        <w:tc>
          <w:tcPr>
            <w:tcW w:w="2212" w:type="dxa"/>
          </w:tcPr>
          <w:p w14:paraId="24B0B61A" w14:textId="77777777" w:rsidR="00401367" w:rsidRDefault="00401367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46D7E4" w14:textId="77777777" w:rsidR="00401367" w:rsidRPr="00764189" w:rsidRDefault="00401367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CEO/GM</w:t>
            </w:r>
          </w:p>
        </w:tc>
        <w:tc>
          <w:tcPr>
            <w:tcW w:w="2213" w:type="dxa"/>
          </w:tcPr>
          <w:p w14:paraId="7AD51480" w14:textId="77777777" w:rsidR="00401367" w:rsidRDefault="00401367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806810" w14:textId="77777777" w:rsidR="00401367" w:rsidRPr="00764189" w:rsidRDefault="00401367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IT Department</w:t>
            </w:r>
          </w:p>
        </w:tc>
        <w:tc>
          <w:tcPr>
            <w:tcW w:w="2213" w:type="dxa"/>
          </w:tcPr>
          <w:p w14:paraId="68250780" w14:textId="77777777" w:rsidR="00401367" w:rsidRDefault="00401367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9DA399" w14:textId="77777777" w:rsidR="00401367" w:rsidRPr="00764189" w:rsidRDefault="00401367" w:rsidP="009E0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8ED3987" w14:textId="49A0AE9B" w:rsidR="00401367" w:rsidRPr="005B13D6" w:rsidRDefault="00401367" w:rsidP="009E0BD3">
      <w:pPr>
        <w:ind w:left="1080"/>
        <w:rPr>
          <w:i/>
          <w:color w:val="0070C0"/>
        </w:rPr>
      </w:pPr>
      <w:r w:rsidRPr="005B13D6">
        <w:rPr>
          <w:i/>
          <w:color w:val="0070C0"/>
        </w:rPr>
        <w:t xml:space="preserve">[Explanatory Note:  </w:t>
      </w:r>
      <w:r w:rsidR="00465FD7">
        <w:rPr>
          <w:i/>
          <w:color w:val="0070C0"/>
        </w:rPr>
        <w:t>&lt;Utility Name&gt;</w:t>
      </w:r>
      <w:r w:rsidRPr="005B13D6">
        <w:rPr>
          <w:i/>
          <w:color w:val="0070C0"/>
        </w:rPr>
        <w:t xml:space="preserve"> should feel free to alter section to reflect the specific responsibility requirement determined by </w:t>
      </w:r>
      <w:r w:rsidR="00465FD7">
        <w:rPr>
          <w:i/>
          <w:color w:val="0070C0"/>
        </w:rPr>
        <w:t>&lt;Utility Name&gt; management</w:t>
      </w:r>
      <w:r w:rsidRPr="005B13D6">
        <w:rPr>
          <w:i/>
          <w:color w:val="0070C0"/>
        </w:rPr>
        <w:t>.]</w:t>
      </w:r>
    </w:p>
    <w:p w14:paraId="6FC4F02B" w14:textId="77777777" w:rsidR="00401367" w:rsidRPr="00CF575F" w:rsidRDefault="00401367" w:rsidP="00A90792">
      <w:pPr>
        <w:pStyle w:val="Heading1"/>
        <w:ind w:left="360" w:hanging="360"/>
      </w:pPr>
      <w:r w:rsidRPr="00CF575F">
        <w:t>Approval</w:t>
      </w:r>
    </w:p>
    <w:p w14:paraId="713E92AF" w14:textId="77777777" w:rsidR="00401367" w:rsidRDefault="00401367" w:rsidP="009E0BD3">
      <w:pPr>
        <w:spacing w:after="0" w:line="240" w:lineRule="auto"/>
      </w:pPr>
    </w:p>
    <w:p w14:paraId="088E4787" w14:textId="77777777" w:rsidR="00401367" w:rsidRDefault="00401367" w:rsidP="009E0BD3">
      <w:pPr>
        <w:spacing w:after="0" w:line="240" w:lineRule="auto"/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55AB493" w14:textId="6F4D1DEC" w:rsidR="00401367" w:rsidRDefault="00401367" w:rsidP="009E0BD3">
      <w:pPr>
        <w:spacing w:after="0" w:line="240" w:lineRule="auto"/>
      </w:pPr>
      <w:r w:rsidRPr="00520174">
        <w:rPr>
          <w:color w:val="FF0000"/>
        </w:rPr>
        <w:t>&lt;</w:t>
      </w:r>
      <w:r w:rsidR="00E508C9" w:rsidRPr="00520174">
        <w:rPr>
          <w:b/>
          <w:color w:val="FF0000"/>
        </w:rPr>
        <w:t>Insert</w:t>
      </w:r>
      <w:r w:rsidRPr="00520174">
        <w:rPr>
          <w:b/>
          <w:color w:val="FF0000"/>
        </w:rPr>
        <w:t xml:space="preserve"> title of approver</w:t>
      </w:r>
      <w:r w:rsidRPr="00520174">
        <w:rPr>
          <w:color w:val="FF0000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3CE3D87" w14:textId="77777777" w:rsidR="00401367" w:rsidRDefault="00401367" w:rsidP="009E0BD3">
      <w:pPr>
        <w:spacing w:after="0" w:line="240" w:lineRule="auto"/>
      </w:pPr>
    </w:p>
    <w:p w14:paraId="6A1B1A83" w14:textId="77777777" w:rsidR="00401367" w:rsidRPr="00CF575F" w:rsidRDefault="00401367" w:rsidP="00A90792">
      <w:pPr>
        <w:pStyle w:val="Heading1"/>
        <w:ind w:left="360" w:hanging="360"/>
      </w:pPr>
      <w:r w:rsidRPr="00CF575F">
        <w:t>Revision History</w:t>
      </w:r>
    </w:p>
    <w:tbl>
      <w:tblPr>
        <w:tblStyle w:val="TableGrid"/>
        <w:tblW w:w="8837" w:type="dxa"/>
        <w:tblInd w:w="468" w:type="dxa"/>
        <w:tblLook w:val="04A0" w:firstRow="1" w:lastRow="0" w:firstColumn="1" w:lastColumn="0" w:noHBand="0" w:noVBand="1"/>
      </w:tblPr>
      <w:tblGrid>
        <w:gridCol w:w="1867"/>
        <w:gridCol w:w="1871"/>
        <w:gridCol w:w="5099"/>
      </w:tblGrid>
      <w:tr w:rsidR="00401367" w14:paraId="5B2AAC0A" w14:textId="77777777" w:rsidTr="009E0BD3">
        <w:trPr>
          <w:trHeight w:val="265"/>
        </w:trPr>
        <w:tc>
          <w:tcPr>
            <w:tcW w:w="1867" w:type="dxa"/>
          </w:tcPr>
          <w:p w14:paraId="2CD515D1" w14:textId="77777777" w:rsidR="00401367" w:rsidRDefault="00401367" w:rsidP="009E0BD3">
            <w:r>
              <w:t>Date of Change(s)</w:t>
            </w:r>
          </w:p>
        </w:tc>
        <w:tc>
          <w:tcPr>
            <w:tcW w:w="1871" w:type="dxa"/>
          </w:tcPr>
          <w:p w14:paraId="05B2C0EE" w14:textId="77777777" w:rsidR="00401367" w:rsidRDefault="00401367" w:rsidP="009E0BD3">
            <w:r>
              <w:t>Revised by</w:t>
            </w:r>
          </w:p>
        </w:tc>
        <w:tc>
          <w:tcPr>
            <w:tcW w:w="5099" w:type="dxa"/>
          </w:tcPr>
          <w:p w14:paraId="35A0214F" w14:textId="77777777" w:rsidR="00401367" w:rsidRDefault="00401367" w:rsidP="009E0BD3">
            <w:r>
              <w:t>Summary of Change(s)</w:t>
            </w:r>
          </w:p>
        </w:tc>
      </w:tr>
      <w:tr w:rsidR="00401367" w14:paraId="1BADAEFC" w14:textId="77777777" w:rsidTr="009E0BD3">
        <w:trPr>
          <w:trHeight w:val="265"/>
        </w:trPr>
        <w:tc>
          <w:tcPr>
            <w:tcW w:w="1867" w:type="dxa"/>
          </w:tcPr>
          <w:p w14:paraId="0F16DB65" w14:textId="77777777" w:rsidR="00401367" w:rsidRDefault="00401367" w:rsidP="009E0BD3"/>
        </w:tc>
        <w:tc>
          <w:tcPr>
            <w:tcW w:w="1871" w:type="dxa"/>
          </w:tcPr>
          <w:p w14:paraId="7AEB6A69" w14:textId="77777777" w:rsidR="00401367" w:rsidRDefault="00401367" w:rsidP="009E0BD3"/>
        </w:tc>
        <w:tc>
          <w:tcPr>
            <w:tcW w:w="5099" w:type="dxa"/>
          </w:tcPr>
          <w:p w14:paraId="345E2B3E" w14:textId="77777777" w:rsidR="00401367" w:rsidRDefault="00401367" w:rsidP="009E0BD3"/>
        </w:tc>
      </w:tr>
      <w:tr w:rsidR="00401367" w14:paraId="6A094420" w14:textId="77777777" w:rsidTr="009E0BD3">
        <w:trPr>
          <w:trHeight w:val="278"/>
        </w:trPr>
        <w:tc>
          <w:tcPr>
            <w:tcW w:w="1867" w:type="dxa"/>
          </w:tcPr>
          <w:p w14:paraId="711EBBA2" w14:textId="77777777" w:rsidR="00401367" w:rsidRDefault="00401367" w:rsidP="009E0BD3"/>
        </w:tc>
        <w:tc>
          <w:tcPr>
            <w:tcW w:w="1871" w:type="dxa"/>
          </w:tcPr>
          <w:p w14:paraId="431117A2" w14:textId="77777777" w:rsidR="00401367" w:rsidRDefault="00401367" w:rsidP="009E0BD3"/>
        </w:tc>
        <w:tc>
          <w:tcPr>
            <w:tcW w:w="5099" w:type="dxa"/>
          </w:tcPr>
          <w:p w14:paraId="01C47D58" w14:textId="77777777" w:rsidR="00401367" w:rsidRDefault="00401367" w:rsidP="009E0BD3"/>
        </w:tc>
      </w:tr>
      <w:tr w:rsidR="00401367" w14:paraId="45A13BB5" w14:textId="77777777" w:rsidTr="009E0BD3">
        <w:trPr>
          <w:trHeight w:val="278"/>
        </w:trPr>
        <w:tc>
          <w:tcPr>
            <w:tcW w:w="1867" w:type="dxa"/>
          </w:tcPr>
          <w:p w14:paraId="00877173" w14:textId="77777777" w:rsidR="00401367" w:rsidRDefault="00401367" w:rsidP="009E0BD3"/>
        </w:tc>
        <w:tc>
          <w:tcPr>
            <w:tcW w:w="1871" w:type="dxa"/>
          </w:tcPr>
          <w:p w14:paraId="6717E985" w14:textId="77777777" w:rsidR="00401367" w:rsidRDefault="00401367" w:rsidP="009E0BD3"/>
        </w:tc>
        <w:tc>
          <w:tcPr>
            <w:tcW w:w="5099" w:type="dxa"/>
          </w:tcPr>
          <w:p w14:paraId="1B667B9F" w14:textId="77777777" w:rsidR="00401367" w:rsidRDefault="00401367" w:rsidP="009E0BD3"/>
        </w:tc>
      </w:tr>
      <w:tr w:rsidR="00401367" w14:paraId="57C18B6F" w14:textId="77777777" w:rsidTr="009E0BD3">
        <w:trPr>
          <w:trHeight w:val="278"/>
        </w:trPr>
        <w:tc>
          <w:tcPr>
            <w:tcW w:w="1867" w:type="dxa"/>
          </w:tcPr>
          <w:p w14:paraId="557C6A64" w14:textId="77777777" w:rsidR="00401367" w:rsidRDefault="00401367" w:rsidP="009E0BD3"/>
        </w:tc>
        <w:tc>
          <w:tcPr>
            <w:tcW w:w="1871" w:type="dxa"/>
          </w:tcPr>
          <w:p w14:paraId="210A5DCA" w14:textId="77777777" w:rsidR="00401367" w:rsidRDefault="00401367" w:rsidP="009E0BD3"/>
        </w:tc>
        <w:tc>
          <w:tcPr>
            <w:tcW w:w="5099" w:type="dxa"/>
          </w:tcPr>
          <w:p w14:paraId="25BCD198" w14:textId="77777777" w:rsidR="00401367" w:rsidRDefault="00401367" w:rsidP="009E0BD3"/>
        </w:tc>
      </w:tr>
    </w:tbl>
    <w:p w14:paraId="370F0BA6" w14:textId="77777777" w:rsidR="00401367" w:rsidRDefault="00401367" w:rsidP="009E0BD3"/>
    <w:sectPr w:rsidR="00401367" w:rsidSect="00C50953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7287441B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C50953">
      <w:rPr>
        <w:rFonts w:asciiTheme="majorHAnsi" w:eastAsiaTheme="majorEastAsia" w:hAnsiTheme="majorHAnsi" w:cstheme="majorBidi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5318E6C3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C50953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2F86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0E50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4744B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97A10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0953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1C8B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vlpubs.nist.gov/nistpubs/SpecialPublications/NIST.SP.800-61r2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pcisecuritystandards.org/document_librar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7307F-DFB0-400A-A0E7-2E124F14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4</TotalTime>
  <Pages>6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5</cp:revision>
  <dcterms:created xsi:type="dcterms:W3CDTF">2016-06-10T13:10:00Z</dcterms:created>
  <dcterms:modified xsi:type="dcterms:W3CDTF">2016-06-10T15:14:00Z</dcterms:modified>
</cp:coreProperties>
</file>